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9E41" w14:textId="67AEF7EC" w:rsidR="00684155" w:rsidRPr="00684155" w:rsidRDefault="00684155" w:rsidP="00C62989">
      <w:pPr>
        <w:rPr>
          <w:b/>
          <w:bCs/>
          <w:color w:val="365F91" w:themeColor="accent1" w:themeShade="BF"/>
          <w:sz w:val="36"/>
          <w:szCs w:val="36"/>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684155">
        <w:rPr>
          <w:b/>
          <w:bCs/>
          <w:color w:val="365F91" w:themeColor="accent1" w:themeShade="BF"/>
          <w:sz w:val="36"/>
          <w:szCs w:val="36"/>
        </w:rPr>
        <w:t xml:space="preserve">Pupil Premium strategy statement </w:t>
      </w:r>
    </w:p>
    <w:p w14:paraId="64495E4E" w14:textId="6B49463A" w:rsidR="00684155" w:rsidRPr="00684155" w:rsidRDefault="00684155" w:rsidP="00C62989">
      <w:pPr>
        <w:rPr>
          <w:b/>
          <w:bCs/>
          <w:color w:val="365F91" w:themeColor="accent1" w:themeShade="BF"/>
          <w:sz w:val="36"/>
          <w:szCs w:val="36"/>
        </w:rPr>
      </w:pPr>
      <w:r w:rsidRPr="00684155">
        <w:rPr>
          <w:b/>
          <w:bCs/>
          <w:color w:val="365F91" w:themeColor="accent1" w:themeShade="BF"/>
          <w:sz w:val="36"/>
          <w:szCs w:val="36"/>
        </w:rPr>
        <w:t>Our Lady of Lourdes Catholic Primary School</w:t>
      </w:r>
    </w:p>
    <w:p w14:paraId="16B48015" w14:textId="1DA89548"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97755D7" w:rsidR="002940F3" w:rsidRDefault="00BC6D25" w:rsidP="00C31636">
            <w:pPr>
              <w:pStyle w:val="TableRow"/>
              <w:ind w:left="0" w:right="0"/>
            </w:pPr>
            <w:r>
              <w:t>252</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E5348B9" w:rsidR="002940F3" w:rsidRDefault="00266FEA" w:rsidP="00C31636">
            <w:pPr>
              <w:pStyle w:val="TableRow"/>
              <w:ind w:left="0" w:right="0"/>
            </w:pPr>
            <w:r>
              <w:t>1</w:t>
            </w:r>
            <w:r w:rsidR="00BC6D25">
              <w:t>5.5</w:t>
            </w:r>
            <w:r>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AEBCE3B" w:rsidR="002940F3" w:rsidRDefault="000A7335" w:rsidP="00C31636">
            <w:pPr>
              <w:pStyle w:val="TableRow"/>
              <w:ind w:left="0" w:right="0"/>
            </w:pPr>
            <w:r>
              <w:t>3</w:t>
            </w:r>
            <w:r w:rsidR="00BC6D25">
              <w:t xml:space="preserve"> years – December 2024 – December 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20CCD0F" w:rsidR="002940F3" w:rsidRDefault="00631C6C" w:rsidP="00C31636">
            <w:pPr>
              <w:pStyle w:val="TableRow"/>
              <w:ind w:left="0" w:right="0"/>
            </w:pPr>
            <w:r>
              <w:t>December 202</w:t>
            </w:r>
            <w:r w:rsidR="00BC6D25">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BBC2014" w:rsidR="002940F3" w:rsidRDefault="00631C6C" w:rsidP="00C31636">
            <w:pPr>
              <w:pStyle w:val="TableRow"/>
              <w:ind w:left="0" w:right="0"/>
            </w:pPr>
            <w:r>
              <w:t>December 202</w:t>
            </w:r>
            <w:r w:rsidR="00BC6D25">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4008DE9" w:rsidR="002940F3" w:rsidRDefault="00631C6C" w:rsidP="00C31636">
            <w:pPr>
              <w:pStyle w:val="TableRow"/>
              <w:ind w:left="0" w:right="0"/>
            </w:pPr>
            <w:r>
              <w:t>Mrs R Gowers</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8E9F1DE" w:rsidR="002940F3" w:rsidRDefault="00631C6C" w:rsidP="00C31636">
            <w:pPr>
              <w:pStyle w:val="TableRow"/>
              <w:ind w:left="0" w:right="0"/>
            </w:pPr>
            <w:r>
              <w:t>Mrs R Gowers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657495B" w:rsidR="002940F3" w:rsidRDefault="00631C6C" w:rsidP="00C31636">
            <w:pPr>
              <w:pStyle w:val="TableRow"/>
              <w:ind w:left="0" w:right="0"/>
            </w:pPr>
            <w:r>
              <w:t>Mr C Rose</w:t>
            </w:r>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0316E7E" w:rsidR="00E66558" w:rsidRDefault="009D71E8" w:rsidP="00C31636">
            <w:pPr>
              <w:pStyle w:val="TableRow"/>
              <w:ind w:left="0" w:right="0"/>
            </w:pPr>
            <w:r>
              <w:t>£</w:t>
            </w:r>
            <w:r w:rsidR="00631C6C">
              <w:t>4</w:t>
            </w:r>
            <w:r w:rsidR="00BC6D25">
              <w:t>9,995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1EFA225" w:rsidR="00E66558" w:rsidRDefault="009D71E8" w:rsidP="00C31636">
            <w:pPr>
              <w:pStyle w:val="TableRow"/>
              <w:ind w:left="0" w:right="0"/>
            </w:pPr>
            <w:r>
              <w:t>£</w:t>
            </w:r>
            <w:r w:rsidR="00631C6C">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F770274" w:rsidR="00E66558" w:rsidRDefault="009D71E8" w:rsidP="00C31636">
            <w:pPr>
              <w:pStyle w:val="TableRow"/>
              <w:ind w:left="0" w:right="0"/>
            </w:pPr>
            <w:r>
              <w:t>£</w:t>
            </w:r>
            <w:r w:rsidR="00631C6C">
              <w:t>4</w:t>
            </w:r>
            <w:r w:rsidR="00BC6D25">
              <w:t>9,995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10065" w:type="dxa"/>
        <w:tblInd w:w="-147" w:type="dxa"/>
        <w:tblCellMar>
          <w:left w:w="10" w:type="dxa"/>
          <w:right w:w="10" w:type="dxa"/>
        </w:tblCellMar>
        <w:tblLook w:val="04A0" w:firstRow="1" w:lastRow="0" w:firstColumn="1" w:lastColumn="0" w:noHBand="0" w:noVBand="1"/>
      </w:tblPr>
      <w:tblGrid>
        <w:gridCol w:w="10065"/>
      </w:tblGrid>
      <w:tr w:rsidR="00E66558" w14:paraId="2A7D54EA" w14:textId="77777777" w:rsidTr="000803E4">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77F52" w14:textId="1C962890" w:rsidR="00DA18BD" w:rsidRPr="00A71F15" w:rsidRDefault="00B869F8" w:rsidP="00B869F8">
            <w:pPr>
              <w:spacing w:before="120"/>
              <w:ind w:left="172"/>
              <w:rPr>
                <w:color w:val="auto"/>
              </w:rPr>
            </w:pPr>
            <w:r w:rsidRPr="00A71F15">
              <w:rPr>
                <w:color w:val="auto"/>
              </w:rPr>
              <w:t xml:space="preserve">At Our Lady of Lourdes Catholic primary school, we have high aspirations and expectations for all our children.  It is our intention that there is little or no gap between the attainment and progress of disadvantaged children and all other children.  Our curriculum prepares our pupils for life in an ever-changing world and our pupil premium funding will provide the support needed to enable disadvantaged pupils to gain the knowledge and skills they need in order to </w:t>
            </w:r>
            <w:r w:rsidR="000803E4" w:rsidRPr="00A71F15">
              <w:rPr>
                <w:color w:val="auto"/>
              </w:rPr>
              <w:t>achieve the best possible outcomes.</w:t>
            </w:r>
          </w:p>
          <w:p w14:paraId="479EE01F" w14:textId="1B5E67FD" w:rsidR="000803E4" w:rsidRPr="00A71F15" w:rsidRDefault="000803E4" w:rsidP="00B869F8">
            <w:pPr>
              <w:spacing w:before="120"/>
              <w:ind w:left="172"/>
              <w:rPr>
                <w:color w:val="auto"/>
              </w:rPr>
            </w:pPr>
            <w:r w:rsidRPr="00A71F15">
              <w:rPr>
                <w:color w:val="auto"/>
              </w:rPr>
              <w:t>The pupil premium strategy will:</w:t>
            </w:r>
          </w:p>
          <w:p w14:paraId="6A4FBDFA" w14:textId="6AD0A497" w:rsidR="000803E4" w:rsidRPr="00A71F15" w:rsidRDefault="000803E4" w:rsidP="000803E4">
            <w:pPr>
              <w:pStyle w:val="ListParagraph"/>
              <w:numPr>
                <w:ilvl w:val="0"/>
                <w:numId w:val="18"/>
              </w:numPr>
              <w:spacing w:before="120"/>
              <w:rPr>
                <w:color w:val="auto"/>
              </w:rPr>
            </w:pPr>
            <w:r w:rsidRPr="00A71F15">
              <w:rPr>
                <w:color w:val="auto"/>
              </w:rPr>
              <w:t>Improve children’s skills in reading, writing and maths to narrow the gap between them and non-pupil premium children</w:t>
            </w:r>
          </w:p>
          <w:p w14:paraId="37F2C79A" w14:textId="136ED7C3" w:rsidR="000803E4" w:rsidRPr="00A71F15" w:rsidRDefault="000803E4" w:rsidP="000803E4">
            <w:pPr>
              <w:pStyle w:val="ListParagraph"/>
              <w:numPr>
                <w:ilvl w:val="0"/>
                <w:numId w:val="18"/>
              </w:numPr>
              <w:spacing w:before="120"/>
              <w:rPr>
                <w:color w:val="auto"/>
              </w:rPr>
            </w:pPr>
            <w:r w:rsidRPr="00A71F15">
              <w:rPr>
                <w:color w:val="auto"/>
              </w:rPr>
              <w:t xml:space="preserve">Improve quality first teaching </w:t>
            </w:r>
            <w:r w:rsidR="00C360D7" w:rsidRPr="00A71F15">
              <w:rPr>
                <w:color w:val="auto"/>
              </w:rPr>
              <w:t>in all subject areas</w:t>
            </w:r>
          </w:p>
          <w:p w14:paraId="1E58091E" w14:textId="26327C92" w:rsidR="00C360D7" w:rsidRPr="00A71F15" w:rsidRDefault="00C360D7" w:rsidP="000803E4">
            <w:pPr>
              <w:pStyle w:val="ListParagraph"/>
              <w:numPr>
                <w:ilvl w:val="0"/>
                <w:numId w:val="18"/>
              </w:numPr>
              <w:spacing w:before="120"/>
              <w:rPr>
                <w:color w:val="auto"/>
              </w:rPr>
            </w:pPr>
            <w:r w:rsidRPr="00A71F15">
              <w:rPr>
                <w:color w:val="auto"/>
              </w:rPr>
              <w:t>Provide enriched experiences for pupils to improve levels of engagement and raise aspirations</w:t>
            </w:r>
          </w:p>
          <w:p w14:paraId="79E1A96E" w14:textId="588B5613" w:rsidR="00C360D7" w:rsidRPr="00A71F15" w:rsidRDefault="00C360D7" w:rsidP="000803E4">
            <w:pPr>
              <w:pStyle w:val="ListParagraph"/>
              <w:numPr>
                <w:ilvl w:val="0"/>
                <w:numId w:val="18"/>
              </w:numPr>
              <w:spacing w:before="120"/>
              <w:rPr>
                <w:color w:val="auto"/>
              </w:rPr>
            </w:pPr>
            <w:r w:rsidRPr="00A71F15">
              <w:rPr>
                <w:color w:val="auto"/>
              </w:rPr>
              <w:t>Improve attendance</w:t>
            </w:r>
          </w:p>
          <w:p w14:paraId="2A7D54E9" w14:textId="16CFE82F" w:rsidR="00E66558" w:rsidRPr="00A71F15" w:rsidRDefault="00C360D7" w:rsidP="00C360D7">
            <w:pPr>
              <w:pStyle w:val="ListParagraph"/>
              <w:numPr>
                <w:ilvl w:val="0"/>
                <w:numId w:val="18"/>
              </w:numPr>
              <w:spacing w:before="120"/>
              <w:rPr>
                <w:color w:val="auto"/>
              </w:rPr>
            </w:pPr>
            <w:r w:rsidRPr="00A71F15">
              <w:rPr>
                <w:color w:val="auto"/>
              </w:rPr>
              <w:t>Provide support to vulnerable families in order to support pupil well-being</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360D7" w:rsidRDefault="009D71E8" w:rsidP="00C31636">
            <w:pPr>
              <w:pStyle w:val="TableRow"/>
              <w:ind w:left="0" w:right="0"/>
            </w:pPr>
            <w:r w:rsidRPr="00C360D7">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6AA63EE" w:rsidR="00E66558" w:rsidRPr="00C360D7" w:rsidRDefault="00CF0718" w:rsidP="00C31636">
            <w:pPr>
              <w:pStyle w:val="TableRowCentered"/>
              <w:ind w:left="0" w:right="0"/>
              <w:jc w:val="left"/>
              <w:rPr>
                <w:szCs w:val="24"/>
              </w:rPr>
            </w:pPr>
            <w:r w:rsidRPr="00C360D7">
              <w:rPr>
                <w:szCs w:val="24"/>
              </w:rPr>
              <w:t>Gaps in reading, writing and maths between pupil premium and non-pupil premium</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C360D7" w:rsidRDefault="009D71E8" w:rsidP="00C31636">
            <w:pPr>
              <w:pStyle w:val="TableRow"/>
              <w:ind w:left="0" w:right="0"/>
            </w:pPr>
            <w:r w:rsidRPr="00C360D7">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1D58BF3" w:rsidR="00E66558" w:rsidRPr="00C360D7" w:rsidRDefault="00CF0718" w:rsidP="00C31636">
            <w:pPr>
              <w:pStyle w:val="TableRowCentered"/>
              <w:ind w:left="0" w:right="0"/>
              <w:jc w:val="left"/>
              <w:rPr>
                <w:szCs w:val="24"/>
              </w:rPr>
            </w:pPr>
            <w:r w:rsidRPr="00C360D7">
              <w:rPr>
                <w:szCs w:val="24"/>
              </w:rPr>
              <w:t>Low levels of attendance in a significant proportion of pupil premium children</w:t>
            </w:r>
          </w:p>
        </w:tc>
      </w:tr>
      <w:tr w:rsidR="00CF0718" w14:paraId="10E4DD9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5B12" w14:textId="371589C7" w:rsidR="00CF0718" w:rsidRPr="00C360D7" w:rsidRDefault="00CF0718" w:rsidP="00C31636">
            <w:pPr>
              <w:pStyle w:val="TableRow"/>
              <w:ind w:left="0" w:right="0"/>
            </w:pPr>
            <w:r w:rsidRPr="00C360D7">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6AE7" w14:textId="6629E2AA" w:rsidR="00CF0718" w:rsidRPr="00C360D7" w:rsidRDefault="0001560B" w:rsidP="00C31636">
            <w:pPr>
              <w:pStyle w:val="TableRowCentered"/>
              <w:ind w:left="0" w:right="0"/>
              <w:jc w:val="left"/>
              <w:rPr>
                <w:szCs w:val="24"/>
              </w:rPr>
            </w:pPr>
            <w:r w:rsidRPr="00C360D7">
              <w:rPr>
                <w:szCs w:val="24"/>
              </w:rPr>
              <w:t>Families experiencing vulnerabilities which impact how well pupils are able to engage in learning and make progress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895E027" w:rsidR="00E66558" w:rsidRPr="00C360D7" w:rsidRDefault="00CF0718" w:rsidP="00C31636">
            <w:pPr>
              <w:pStyle w:val="TableRow"/>
              <w:ind w:left="0" w:right="0"/>
            </w:pPr>
            <w:r w:rsidRPr="00C360D7">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8513024" w:rsidR="00E66558" w:rsidRPr="00C360D7" w:rsidRDefault="00CF0718" w:rsidP="00C31636">
            <w:pPr>
              <w:pStyle w:val="TableRowCentered"/>
              <w:ind w:left="0" w:right="0"/>
              <w:jc w:val="left"/>
              <w:rPr>
                <w:szCs w:val="24"/>
              </w:rPr>
            </w:pPr>
            <w:r w:rsidRPr="00C360D7">
              <w:rPr>
                <w:szCs w:val="24"/>
              </w:rPr>
              <w:t>Low attainment on-entry into EYFS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566B60C9" w:rsidR="00E66558" w:rsidRPr="00C360D7" w:rsidRDefault="00CF0718" w:rsidP="00C31636">
            <w:pPr>
              <w:pStyle w:val="TableRow"/>
              <w:ind w:left="0" w:right="0"/>
            </w:pPr>
            <w:r w:rsidRPr="00C360D7">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F22C88A" w:rsidR="00E66558" w:rsidRPr="00C360D7" w:rsidRDefault="00CF0718" w:rsidP="00C31636">
            <w:pPr>
              <w:pStyle w:val="TableRowCentered"/>
              <w:ind w:left="0" w:right="0"/>
              <w:jc w:val="left"/>
              <w:rPr>
                <w:iCs/>
                <w:szCs w:val="24"/>
              </w:rPr>
            </w:pPr>
            <w:r w:rsidRPr="00C360D7">
              <w:rPr>
                <w:iCs/>
                <w:szCs w:val="24"/>
              </w:rPr>
              <w:t>A significant proportion of pupil</w:t>
            </w:r>
            <w:r w:rsidR="0001560B" w:rsidRPr="00C360D7">
              <w:rPr>
                <w:iCs/>
                <w:szCs w:val="24"/>
              </w:rPr>
              <w:t>s</w:t>
            </w:r>
            <w:r w:rsidRPr="00C360D7">
              <w:rPr>
                <w:iCs/>
                <w:szCs w:val="24"/>
              </w:rPr>
              <w:t xml:space="preserve"> have multiple identified barriers to learning</w:t>
            </w:r>
          </w:p>
        </w:tc>
      </w:tr>
    </w:tbl>
    <w:p w14:paraId="2A7D54FF" w14:textId="1B0F1EDD" w:rsidR="00E66558" w:rsidRDefault="009D71E8">
      <w:pPr>
        <w:pStyle w:val="Heading2"/>
        <w:spacing w:before="600"/>
      </w:pPr>
      <w:bookmarkStart w:id="14"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248"/>
        <w:gridCol w:w="5238"/>
      </w:tblGrid>
      <w:tr w:rsidR="00E66558" w14:paraId="2A7D5503" w14:textId="77777777" w:rsidTr="0001560B">
        <w:tc>
          <w:tcPr>
            <w:tcW w:w="424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lastRenderedPageBreak/>
              <w:t>Intended outcome</w:t>
            </w:r>
          </w:p>
        </w:tc>
        <w:tc>
          <w:tcPr>
            <w:tcW w:w="523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rsidRPr="00C360D7" w14:paraId="2A7D5506" w14:textId="77777777" w:rsidTr="0001560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8B90E7D" w:rsidR="00E66558" w:rsidRPr="00C360D7" w:rsidRDefault="0001560B" w:rsidP="00C31636">
            <w:pPr>
              <w:pStyle w:val="TableRow"/>
              <w:ind w:left="0" w:right="0"/>
            </w:pPr>
            <w:r w:rsidRPr="00C360D7">
              <w:t xml:space="preserve">The gap in attainment between PP and non-PP children narrows in reading, writing and maths </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45C3851" w:rsidR="00E66558" w:rsidRPr="00C360D7" w:rsidRDefault="00C360D7" w:rsidP="00C360D7">
            <w:pPr>
              <w:pStyle w:val="TableRowCentered"/>
              <w:ind w:left="0" w:right="0"/>
              <w:jc w:val="left"/>
              <w:rPr>
                <w:szCs w:val="24"/>
              </w:rPr>
            </w:pPr>
            <w:r>
              <w:rPr>
                <w:szCs w:val="24"/>
              </w:rPr>
              <w:t>Assessment outcomes show an increase in the number of pupils achieving the expected standard in reading, writing and maths</w:t>
            </w:r>
            <w:r w:rsidR="00FD2E8E">
              <w:rPr>
                <w:szCs w:val="24"/>
              </w:rPr>
              <w:t>.  This increases year on year.</w:t>
            </w:r>
          </w:p>
        </w:tc>
      </w:tr>
      <w:tr w:rsidR="00E66558" w:rsidRPr="00C360D7" w14:paraId="2A7D5509" w14:textId="77777777" w:rsidTr="0001560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D35520A" w:rsidR="00E66558" w:rsidRPr="00C360D7" w:rsidRDefault="00FD2E8E" w:rsidP="00C31636">
            <w:pPr>
              <w:pStyle w:val="TableRow"/>
              <w:ind w:left="0" w:right="0"/>
            </w:pPr>
            <w:r>
              <w:t>Improved rates of progress for</w:t>
            </w:r>
            <w:r w:rsidR="0001560B" w:rsidRPr="00C360D7">
              <w:t xml:space="preserve"> PP children in reading, writing and maths</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468AA0C" w:rsidR="00E66558" w:rsidRPr="00C360D7" w:rsidRDefault="00FD2E8E" w:rsidP="00C31636">
            <w:pPr>
              <w:pStyle w:val="TableRowCentered"/>
              <w:ind w:left="0" w:right="0"/>
              <w:jc w:val="left"/>
              <w:rPr>
                <w:szCs w:val="24"/>
              </w:rPr>
            </w:pPr>
            <w:r>
              <w:rPr>
                <w:szCs w:val="24"/>
              </w:rPr>
              <w:t>All PP children make at least expected progress (from their starting points) in reading, writing and maths)</w:t>
            </w:r>
          </w:p>
        </w:tc>
      </w:tr>
      <w:tr w:rsidR="00E66558" w:rsidRPr="00C360D7" w14:paraId="2A7D550C" w14:textId="77777777" w:rsidTr="0001560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A7C1" w14:textId="07ACCC82" w:rsidR="00FD2E8E" w:rsidRDefault="00FD2E8E" w:rsidP="00C31636">
            <w:pPr>
              <w:pStyle w:val="TableRow"/>
              <w:ind w:left="0" w:right="0"/>
            </w:pPr>
            <w:r>
              <w:t>Sustained improvement in attendance rates and a significant decrease in the number of persistent absenteeism</w:t>
            </w:r>
          </w:p>
          <w:p w14:paraId="2A7D550A" w14:textId="6F63A53D" w:rsidR="00E66558" w:rsidRPr="00C360D7" w:rsidRDefault="00E66558" w:rsidP="00C31636">
            <w:pPr>
              <w:pStyle w:val="TableRow"/>
              <w:ind w:left="0" w:right="0"/>
            </w:pP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AD53" w14:textId="7A76333F" w:rsidR="00EA7C27" w:rsidRDefault="00EA7C27" w:rsidP="00C31636">
            <w:pPr>
              <w:pStyle w:val="TableRowCentered"/>
              <w:ind w:left="0" w:right="0"/>
              <w:jc w:val="left"/>
              <w:rPr>
                <w:szCs w:val="24"/>
              </w:rPr>
            </w:pPr>
            <w:r>
              <w:rPr>
                <w:szCs w:val="24"/>
              </w:rPr>
              <w:t>Improved levels of attendance for PP children which is sustained over time</w:t>
            </w:r>
          </w:p>
          <w:p w14:paraId="2398FF36" w14:textId="77777777" w:rsidR="00EA7C27" w:rsidRDefault="00EA7C27" w:rsidP="00C31636">
            <w:pPr>
              <w:pStyle w:val="TableRowCentered"/>
              <w:ind w:left="0" w:right="0"/>
              <w:jc w:val="left"/>
              <w:rPr>
                <w:szCs w:val="24"/>
              </w:rPr>
            </w:pPr>
          </w:p>
          <w:p w14:paraId="2A7D550B" w14:textId="48513B7A" w:rsidR="00FD2E8E" w:rsidRPr="00C360D7" w:rsidRDefault="00FD2E8E" w:rsidP="00C31636">
            <w:pPr>
              <w:pStyle w:val="TableRowCentered"/>
              <w:ind w:left="0" w:right="0"/>
              <w:jc w:val="left"/>
              <w:rPr>
                <w:szCs w:val="24"/>
              </w:rPr>
            </w:pPr>
            <w:r>
              <w:rPr>
                <w:szCs w:val="24"/>
              </w:rPr>
              <w:t>Year on year the number of persistent absences decreases</w:t>
            </w:r>
          </w:p>
        </w:tc>
      </w:tr>
      <w:tr w:rsidR="00E66558" w:rsidRPr="00C360D7" w14:paraId="2A7D550F" w14:textId="77777777" w:rsidTr="0001560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2F02418" w:rsidR="00E66558" w:rsidRPr="00C360D7" w:rsidRDefault="0001560B" w:rsidP="00C31636">
            <w:pPr>
              <w:pStyle w:val="TableRow"/>
              <w:ind w:left="0" w:right="0"/>
            </w:pPr>
            <w:r w:rsidRPr="00C360D7">
              <w:t>All PP children demonstrate positive attitudes towards their learning and have aspirations as to what they can achieve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D8E3" w14:textId="77777777" w:rsidR="00E66558" w:rsidRDefault="00FD2E8E" w:rsidP="00C31636">
            <w:pPr>
              <w:pStyle w:val="TableRowCentered"/>
              <w:ind w:left="0" w:right="0"/>
              <w:jc w:val="left"/>
              <w:rPr>
                <w:szCs w:val="24"/>
              </w:rPr>
            </w:pPr>
            <w:r>
              <w:rPr>
                <w:szCs w:val="24"/>
              </w:rPr>
              <w:t>Pupil voice and pupil and parent surveys and teacher observations identify positive attitudes and well-being</w:t>
            </w:r>
          </w:p>
          <w:p w14:paraId="2A7D550E" w14:textId="5CD048E8" w:rsidR="00FD2E8E" w:rsidRPr="00C360D7" w:rsidRDefault="00FD2E8E" w:rsidP="00C31636">
            <w:pPr>
              <w:pStyle w:val="TableRowCentered"/>
              <w:ind w:left="0" w:right="0"/>
              <w:jc w:val="left"/>
              <w:rPr>
                <w:szCs w:val="24"/>
              </w:rPr>
            </w:pPr>
            <w:r>
              <w:rPr>
                <w:szCs w:val="24"/>
              </w:rPr>
              <w:t xml:space="preserve">Teacher observations identify strong pupil engagement </w:t>
            </w:r>
          </w:p>
        </w:tc>
      </w:tr>
      <w:tr w:rsidR="002A6167" w:rsidRPr="00C360D7" w14:paraId="42D2CBA8" w14:textId="77777777" w:rsidTr="0001560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5942" w14:textId="165B2799" w:rsidR="002A6167" w:rsidRPr="00C360D7" w:rsidRDefault="002A6167" w:rsidP="00C31636">
            <w:pPr>
              <w:pStyle w:val="TableRow"/>
              <w:ind w:left="0" w:right="0"/>
            </w:pPr>
            <w:r w:rsidRPr="00C360D7">
              <w:t>Children to have access to wider opportunities which raise aspirations and develop wider knowledge and skills which support learning</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F9EE1" w14:textId="77777777" w:rsidR="005F5340" w:rsidRDefault="005F5340" w:rsidP="00C31636">
            <w:pPr>
              <w:pStyle w:val="TableRowCentered"/>
              <w:ind w:left="0" w:right="0"/>
              <w:jc w:val="left"/>
              <w:rPr>
                <w:szCs w:val="24"/>
              </w:rPr>
            </w:pPr>
            <w:r>
              <w:rPr>
                <w:szCs w:val="24"/>
              </w:rPr>
              <w:t xml:space="preserve">Pupils engage well in enrichment activities. </w:t>
            </w:r>
          </w:p>
          <w:p w14:paraId="395D13F1" w14:textId="4328EE4D" w:rsidR="002A6167" w:rsidRPr="00C360D7" w:rsidRDefault="005F5340" w:rsidP="00C31636">
            <w:pPr>
              <w:pStyle w:val="TableRowCentered"/>
              <w:ind w:left="0" w:right="0"/>
              <w:jc w:val="left"/>
              <w:rPr>
                <w:szCs w:val="24"/>
              </w:rPr>
            </w:pPr>
            <w:r>
              <w:rPr>
                <w:szCs w:val="24"/>
              </w:rPr>
              <w:t>Teacher observations identify strong pupil engagement</w:t>
            </w:r>
            <w:r w:rsidR="005F5022">
              <w:rPr>
                <w:szCs w:val="24"/>
              </w:rPr>
              <w:t xml:space="preserve"> in lessons</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C97ECCC" w:rsidR="00E66558" w:rsidRDefault="009D71E8">
      <w:r>
        <w:t>Budgeted cost:</w:t>
      </w:r>
      <w:r w:rsidRPr="00064545">
        <w:rPr>
          <w:color w:val="auto"/>
        </w:rPr>
        <w:t xml:space="preserve"> £</w:t>
      </w:r>
      <w:r w:rsidR="00BC6D25" w:rsidRPr="00064545">
        <w:rPr>
          <w:color w:val="auto"/>
        </w:rPr>
        <w:t>10,000</w:t>
      </w:r>
    </w:p>
    <w:tbl>
      <w:tblPr>
        <w:tblW w:w="5000" w:type="pct"/>
        <w:tblCellMar>
          <w:left w:w="10" w:type="dxa"/>
          <w:right w:w="10" w:type="dxa"/>
        </w:tblCellMar>
        <w:tblLook w:val="04A0" w:firstRow="1" w:lastRow="0" w:firstColumn="1" w:lastColumn="0" w:noHBand="0" w:noVBand="1"/>
      </w:tblPr>
      <w:tblGrid>
        <w:gridCol w:w="1921"/>
        <w:gridCol w:w="5757"/>
        <w:gridCol w:w="1808"/>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1C41" w14:textId="1A4BA669" w:rsidR="00E66558" w:rsidRDefault="00631C6C" w:rsidP="00C31636">
            <w:pPr>
              <w:pStyle w:val="TableRow"/>
              <w:ind w:left="0" w:right="0"/>
            </w:pPr>
            <w:r>
              <w:t xml:space="preserve">Whole school approach to the teaching of </w:t>
            </w:r>
            <w:r w:rsidR="00BC6D25">
              <w:t>reading</w:t>
            </w:r>
            <w:r>
              <w:t xml:space="preserve"> – </w:t>
            </w:r>
            <w:r w:rsidR="00BA27EE">
              <w:t>Resources to support this</w:t>
            </w:r>
          </w:p>
          <w:p w14:paraId="02BC809B" w14:textId="77777777" w:rsidR="00631C6C" w:rsidRDefault="00631C6C" w:rsidP="00C31636">
            <w:pPr>
              <w:pStyle w:val="TableRow"/>
              <w:ind w:left="0" w:right="0"/>
            </w:pPr>
          </w:p>
          <w:p w14:paraId="2A7D551A" w14:textId="44CC90F6" w:rsidR="00266FEA" w:rsidRPr="00BA27EE" w:rsidRDefault="00266FEA" w:rsidP="00C31636">
            <w:pPr>
              <w:pStyle w:val="TableRow"/>
              <w:ind w:left="0" w:right="0"/>
              <w:rPr>
                <w:i/>
                <w:iCs/>
              </w:rPr>
            </w:pPr>
            <w:r w:rsidRPr="00BA27EE">
              <w:rPr>
                <w:i/>
                <w:iCs/>
              </w:rPr>
              <w:t>£</w:t>
            </w:r>
            <w:r w:rsidR="00D73AE1">
              <w:rPr>
                <w:i/>
                <w:iCs/>
              </w:rPr>
              <w:t>1</w:t>
            </w:r>
            <w:r w:rsidR="00BC6D25">
              <w:rPr>
                <w:i/>
                <w:iCs/>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341B" w14:textId="0210A451" w:rsidR="00E66558" w:rsidRDefault="00BC6D25" w:rsidP="00C31636">
            <w:pPr>
              <w:pStyle w:val="TableRowCentered"/>
              <w:ind w:left="0" w:right="0"/>
              <w:jc w:val="left"/>
              <w:rPr>
                <w:sz w:val="22"/>
                <w:u w:val="single"/>
              </w:rPr>
            </w:pPr>
            <w:hyperlink r:id="rId7" w:history="1">
              <w:r w:rsidRPr="005366CE">
                <w:rPr>
                  <w:rStyle w:val="Hyperlink"/>
                  <w:sz w:val="22"/>
                </w:rPr>
                <w:t>https://educationendowmentfoundation.org.uk/education-evidence/guidance-reports/literacy-ks-1</w:t>
              </w:r>
            </w:hyperlink>
          </w:p>
          <w:p w14:paraId="68FB1C1F" w14:textId="77777777" w:rsidR="00BC6D25" w:rsidRDefault="00BC6D25" w:rsidP="00C31636">
            <w:pPr>
              <w:pStyle w:val="TableRowCentered"/>
              <w:ind w:left="0" w:right="0"/>
              <w:jc w:val="left"/>
              <w:rPr>
                <w:sz w:val="22"/>
                <w:u w:val="single"/>
              </w:rPr>
            </w:pPr>
          </w:p>
          <w:p w14:paraId="42734411" w14:textId="77777777" w:rsidR="00BC6D25" w:rsidRDefault="00BC6D25" w:rsidP="00C31636">
            <w:pPr>
              <w:pStyle w:val="TableRowCentered"/>
              <w:ind w:left="0" w:right="0"/>
              <w:jc w:val="left"/>
              <w:rPr>
                <w:sz w:val="22"/>
                <w:u w:val="single"/>
              </w:rPr>
            </w:pPr>
          </w:p>
          <w:p w14:paraId="3F857BF0" w14:textId="6228D8DD" w:rsidR="00BC6D25" w:rsidRDefault="00BC6D25" w:rsidP="00C31636">
            <w:pPr>
              <w:pStyle w:val="TableRowCentered"/>
              <w:ind w:left="0" w:right="0"/>
              <w:jc w:val="left"/>
              <w:rPr>
                <w:sz w:val="22"/>
                <w:u w:val="single"/>
              </w:rPr>
            </w:pPr>
            <w:hyperlink r:id="rId8" w:history="1">
              <w:r w:rsidRPr="005366CE">
                <w:rPr>
                  <w:rStyle w:val="Hyperlink"/>
                  <w:sz w:val="22"/>
                </w:rPr>
                <w:t>https://educationendowmentfoundation.org.uk/education-evidence/guidance-reports/literacy-ks2</w:t>
              </w:r>
            </w:hyperlink>
          </w:p>
          <w:p w14:paraId="2A7D551B" w14:textId="366799D6" w:rsidR="00BC6D25" w:rsidRPr="006D3555" w:rsidRDefault="00BC6D25" w:rsidP="00C31636">
            <w:pPr>
              <w:pStyle w:val="TableRowCentered"/>
              <w:ind w:left="0" w:right="0"/>
              <w:jc w:val="left"/>
              <w:rPr>
                <w:sz w:val="22"/>
                <w:u w:val="single"/>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F836FE4" w:rsidR="00E66558" w:rsidRDefault="00EA7C27" w:rsidP="00C31636">
            <w:pPr>
              <w:pStyle w:val="TableRowCentered"/>
              <w:ind w:left="0" w:right="0"/>
              <w:jc w:val="left"/>
              <w:rPr>
                <w:sz w:val="22"/>
              </w:rPr>
            </w:pPr>
            <w:r>
              <w:rPr>
                <w:sz w:val="22"/>
              </w:rPr>
              <w:t>1</w:t>
            </w:r>
          </w:p>
        </w:tc>
      </w:tr>
      <w:tr w:rsidR="00BC6D25" w14:paraId="26198A4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974D1" w14:textId="4466F7C8" w:rsidR="00BC6D25" w:rsidRDefault="00BC6D25" w:rsidP="00BC6D25">
            <w:pPr>
              <w:pStyle w:val="TableRow"/>
              <w:ind w:left="0" w:right="0"/>
            </w:pPr>
            <w:r>
              <w:t xml:space="preserve">Whole school approach to the </w:t>
            </w:r>
            <w:r>
              <w:lastRenderedPageBreak/>
              <w:t xml:space="preserve">teaching of </w:t>
            </w:r>
            <w:r>
              <w:t>writ</w:t>
            </w:r>
            <w:r>
              <w:t>ing – Resources to support this</w:t>
            </w:r>
          </w:p>
          <w:p w14:paraId="048354DD" w14:textId="77777777" w:rsidR="00BC6D25" w:rsidRDefault="00BC6D25" w:rsidP="00BC6D25">
            <w:pPr>
              <w:pStyle w:val="TableRow"/>
              <w:ind w:left="0" w:right="0"/>
            </w:pPr>
          </w:p>
          <w:p w14:paraId="6024A9FE" w14:textId="3D5B5B15" w:rsidR="00BC6D25" w:rsidRDefault="00BC6D25" w:rsidP="00BC6D25">
            <w:pPr>
              <w:pStyle w:val="TableRow"/>
              <w:ind w:left="0" w:right="0"/>
            </w:pPr>
            <w:r w:rsidRPr="00BA27EE">
              <w:rPr>
                <w:i/>
                <w:iCs/>
              </w:rPr>
              <w:t>£</w:t>
            </w:r>
            <w:r>
              <w:rPr>
                <w:i/>
                <w:iCs/>
              </w:rPr>
              <w:t>1000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A07E0" w14:textId="77777777" w:rsidR="00BC6D25" w:rsidRDefault="00BC6D25" w:rsidP="00BC6D25">
            <w:pPr>
              <w:pStyle w:val="TableRowCentered"/>
              <w:ind w:left="0" w:right="0"/>
              <w:jc w:val="left"/>
              <w:rPr>
                <w:sz w:val="22"/>
                <w:u w:val="single"/>
              </w:rPr>
            </w:pPr>
            <w:hyperlink r:id="rId9" w:history="1">
              <w:r w:rsidRPr="005366CE">
                <w:rPr>
                  <w:rStyle w:val="Hyperlink"/>
                  <w:sz w:val="22"/>
                </w:rPr>
                <w:t>https://educationendowmentfoundation.org.uk/education-evidence/guidance-reports/literacy-ks-1</w:t>
              </w:r>
            </w:hyperlink>
          </w:p>
          <w:p w14:paraId="60ED6457" w14:textId="77777777" w:rsidR="00BC6D25" w:rsidRDefault="00BC6D25" w:rsidP="00BC6D25">
            <w:pPr>
              <w:pStyle w:val="TableRowCentered"/>
              <w:ind w:left="0" w:right="0"/>
              <w:jc w:val="left"/>
              <w:rPr>
                <w:sz w:val="22"/>
                <w:u w:val="single"/>
              </w:rPr>
            </w:pPr>
            <w:hyperlink r:id="rId10" w:history="1">
              <w:r w:rsidRPr="005366CE">
                <w:rPr>
                  <w:rStyle w:val="Hyperlink"/>
                  <w:sz w:val="22"/>
                </w:rPr>
                <w:t>https://educationendowmentfoundation.org.uk/education-evidence/guidance-reports/literacy-ks2</w:t>
              </w:r>
            </w:hyperlink>
          </w:p>
          <w:p w14:paraId="799A68BC" w14:textId="343192D8" w:rsidR="00BC6D25" w:rsidRPr="006D3555" w:rsidRDefault="00BC6D25" w:rsidP="00C31636">
            <w:pPr>
              <w:pStyle w:val="TableRowCentered"/>
              <w:ind w:left="0" w:right="0"/>
              <w:jc w:val="left"/>
              <w:rPr>
                <w:sz w:val="22"/>
                <w:u w:val="single"/>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F0FB" w14:textId="0E2F4130" w:rsidR="00BC6D25" w:rsidRDefault="00BC6D25" w:rsidP="00C31636">
            <w:pPr>
              <w:pStyle w:val="TableRowCentered"/>
              <w:ind w:left="0" w:right="0"/>
              <w:jc w:val="left"/>
              <w:rPr>
                <w:sz w:val="22"/>
              </w:rPr>
            </w:pPr>
            <w:r>
              <w:rPr>
                <w:sz w:val="22"/>
              </w:rPr>
              <w:lastRenderedPageBreak/>
              <w:t>1</w:t>
            </w:r>
          </w:p>
        </w:tc>
      </w:tr>
      <w:tr w:rsidR="00BC6D25" w14:paraId="4232142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BE899" w14:textId="21B3E9D6" w:rsidR="00BC6D25" w:rsidRDefault="00BC6D25" w:rsidP="00BC6D25">
            <w:pPr>
              <w:pStyle w:val="TableRow"/>
              <w:ind w:left="0" w:right="0"/>
            </w:pPr>
            <w:r>
              <w:t xml:space="preserve">Whole school approach to the teaching of </w:t>
            </w:r>
            <w:r>
              <w:t>maths</w:t>
            </w:r>
            <w:r>
              <w:t xml:space="preserve"> – Resources to support this</w:t>
            </w:r>
          </w:p>
          <w:p w14:paraId="1356F38D" w14:textId="77777777" w:rsidR="00BC6D25" w:rsidRDefault="00BC6D25" w:rsidP="00BC6D25">
            <w:pPr>
              <w:pStyle w:val="TableRow"/>
              <w:ind w:left="0" w:right="0"/>
            </w:pPr>
          </w:p>
          <w:p w14:paraId="4AD984DE" w14:textId="38211B30" w:rsidR="00BC6D25" w:rsidRDefault="00BC6D25" w:rsidP="00BC6D25">
            <w:pPr>
              <w:pStyle w:val="TableRow"/>
              <w:ind w:left="0" w:right="0"/>
            </w:pPr>
            <w:r w:rsidRPr="00BA27EE">
              <w:rPr>
                <w:i/>
                <w:iCs/>
              </w:rPr>
              <w:t>£</w:t>
            </w:r>
            <w:r>
              <w:rPr>
                <w:i/>
                <w:iCs/>
              </w:rPr>
              <w:t>2</w:t>
            </w:r>
            <w:r>
              <w:rPr>
                <w:i/>
                <w:iCs/>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E9EEA" w14:textId="47690B42" w:rsidR="00BC6D25" w:rsidRDefault="00BC6D25" w:rsidP="00C31636">
            <w:pPr>
              <w:pStyle w:val="TableRowCentered"/>
              <w:ind w:left="0" w:right="0"/>
              <w:jc w:val="left"/>
              <w:rPr>
                <w:sz w:val="22"/>
                <w:u w:val="single"/>
              </w:rPr>
            </w:pPr>
            <w:hyperlink r:id="rId11" w:history="1">
              <w:r w:rsidRPr="005366CE">
                <w:rPr>
                  <w:rStyle w:val="Hyperlink"/>
                  <w:sz w:val="22"/>
                </w:rPr>
                <w:t>https://educationendowmentfoundation.org.uk/early-years/evidence-store/early-mathematics</w:t>
              </w:r>
            </w:hyperlink>
          </w:p>
          <w:p w14:paraId="288AF347" w14:textId="77777777" w:rsidR="00BC6D25" w:rsidRDefault="00BC6D25" w:rsidP="00C31636">
            <w:pPr>
              <w:pStyle w:val="TableRowCentered"/>
              <w:ind w:left="0" w:right="0"/>
              <w:jc w:val="left"/>
              <w:rPr>
                <w:sz w:val="22"/>
                <w:u w:val="single"/>
              </w:rPr>
            </w:pPr>
          </w:p>
          <w:p w14:paraId="1ADBE044" w14:textId="12773F08" w:rsidR="00BC6D25" w:rsidRDefault="00BC6D25" w:rsidP="00C31636">
            <w:pPr>
              <w:pStyle w:val="TableRowCentered"/>
              <w:ind w:left="0" w:right="0"/>
              <w:jc w:val="left"/>
              <w:rPr>
                <w:sz w:val="22"/>
                <w:u w:val="single"/>
              </w:rPr>
            </w:pPr>
            <w:hyperlink r:id="rId12" w:history="1">
              <w:r w:rsidRPr="005366CE">
                <w:rPr>
                  <w:rStyle w:val="Hyperlink"/>
                  <w:sz w:val="22"/>
                </w:rPr>
                <w:t>https://educationendowmentfoundation.org.uk/education-evidence/guidance-reports/maths-ks-2-3</w:t>
              </w:r>
            </w:hyperlink>
          </w:p>
          <w:p w14:paraId="15CB217A" w14:textId="203E8E0A" w:rsidR="00BC6D25" w:rsidRPr="006D3555" w:rsidRDefault="00BC6D25" w:rsidP="00C31636">
            <w:pPr>
              <w:pStyle w:val="TableRowCentered"/>
              <w:ind w:left="0" w:right="0"/>
              <w:jc w:val="left"/>
              <w:rPr>
                <w:sz w:val="22"/>
                <w:u w:val="single"/>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FFD38" w14:textId="45E49146" w:rsidR="00BC6D25" w:rsidRDefault="00BC6D25" w:rsidP="00C31636">
            <w:pPr>
              <w:pStyle w:val="TableRowCentered"/>
              <w:ind w:left="0" w:right="0"/>
              <w:jc w:val="left"/>
              <w:rPr>
                <w:sz w:val="22"/>
              </w:rPr>
            </w:pPr>
            <w:r>
              <w:rPr>
                <w:sz w:val="22"/>
              </w:rPr>
              <w:t>1</w:t>
            </w:r>
          </w:p>
        </w:tc>
      </w:tr>
      <w:tr w:rsidR="00631C6C" w14:paraId="74744E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4025" w14:textId="59EC117F" w:rsidR="00631C6C" w:rsidRDefault="00631C6C" w:rsidP="00C31636">
            <w:pPr>
              <w:pStyle w:val="TableRow"/>
              <w:ind w:left="0" w:right="0"/>
              <w:rPr>
                <w:iCs/>
                <w:sz w:val="22"/>
              </w:rPr>
            </w:pPr>
            <w:r>
              <w:rPr>
                <w:iCs/>
                <w:sz w:val="22"/>
              </w:rPr>
              <w:t>Staff Continuous Professional Development</w:t>
            </w:r>
            <w:r w:rsidR="00BA27EE">
              <w:rPr>
                <w:iCs/>
                <w:sz w:val="22"/>
              </w:rPr>
              <w:t xml:space="preserve"> in Quality First Teaching, </w:t>
            </w:r>
          </w:p>
          <w:p w14:paraId="19AD32B5" w14:textId="77777777" w:rsidR="00266FEA" w:rsidRDefault="00266FEA" w:rsidP="00C31636">
            <w:pPr>
              <w:pStyle w:val="TableRow"/>
              <w:ind w:left="0" w:right="0"/>
              <w:rPr>
                <w:iCs/>
                <w:sz w:val="22"/>
              </w:rPr>
            </w:pPr>
          </w:p>
          <w:p w14:paraId="47309BC7" w14:textId="3A31B02C" w:rsidR="00266FEA" w:rsidRPr="00266FEA" w:rsidRDefault="00266FEA" w:rsidP="00C31636">
            <w:pPr>
              <w:pStyle w:val="TableRow"/>
              <w:ind w:left="0" w:right="0"/>
              <w:rPr>
                <w:i/>
                <w:sz w:val="22"/>
              </w:rPr>
            </w:pPr>
            <w:r w:rsidRPr="00266FEA">
              <w:rPr>
                <w:i/>
                <w:sz w:val="22"/>
              </w:rPr>
              <w:t>£</w:t>
            </w:r>
            <w:r w:rsidR="00BA27EE">
              <w:rPr>
                <w:i/>
                <w:sz w:val="22"/>
              </w:rPr>
              <w:t>3</w:t>
            </w:r>
            <w:r w:rsidRPr="00266FEA">
              <w:rPr>
                <w:i/>
                <w:sz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FE92C" w14:textId="52E1BCC1" w:rsidR="008E1E40" w:rsidRPr="008E1E40" w:rsidRDefault="008E1E40" w:rsidP="00C31636">
            <w:pPr>
              <w:pStyle w:val="TableRowCentered"/>
              <w:ind w:left="0" w:right="0"/>
              <w:jc w:val="left"/>
              <w:rPr>
                <w:sz w:val="22"/>
              </w:rPr>
            </w:pPr>
            <w:r w:rsidRPr="008E1E40">
              <w:rPr>
                <w:sz w:val="22"/>
              </w:rPr>
              <w:t xml:space="preserve">Evidence shows that </w:t>
            </w:r>
            <w:r>
              <w:rPr>
                <w:sz w:val="22"/>
              </w:rPr>
              <w:t>effective professional development is important to develop the practice of teachers and has a significant impact on pupil outcomes</w:t>
            </w:r>
          </w:p>
          <w:p w14:paraId="6433919D" w14:textId="77777777" w:rsidR="008E1E40" w:rsidRDefault="008E1E40" w:rsidP="00C31636">
            <w:pPr>
              <w:pStyle w:val="TableRowCentered"/>
              <w:ind w:left="0" w:right="0"/>
              <w:jc w:val="left"/>
              <w:rPr>
                <w:sz w:val="22"/>
                <w:u w:val="single"/>
              </w:rPr>
            </w:pPr>
          </w:p>
          <w:p w14:paraId="6F4D2107" w14:textId="39132210" w:rsidR="00631C6C" w:rsidRDefault="008E1E40" w:rsidP="00C31636">
            <w:pPr>
              <w:pStyle w:val="TableRowCentered"/>
              <w:ind w:left="0" w:right="0"/>
              <w:jc w:val="left"/>
              <w:rPr>
                <w:sz w:val="22"/>
                <w:u w:val="single"/>
              </w:rPr>
            </w:pPr>
            <w:r w:rsidRPr="008E1E40">
              <w:rPr>
                <w:sz w:val="22"/>
                <w:u w:val="single"/>
              </w:rPr>
              <w:t>EEF Effective Professional Development</w:t>
            </w:r>
          </w:p>
          <w:p w14:paraId="2E0E9382" w14:textId="67281D18" w:rsidR="008E1E40" w:rsidRDefault="008E1E40" w:rsidP="00C31636">
            <w:pPr>
              <w:pStyle w:val="TableRowCentered"/>
              <w:ind w:left="0" w:right="0"/>
              <w:jc w:val="left"/>
              <w:rPr>
                <w:sz w:val="22"/>
                <w:u w:val="single"/>
              </w:rPr>
            </w:pPr>
          </w:p>
          <w:p w14:paraId="08F10527" w14:textId="69200CE0" w:rsidR="008E1E40" w:rsidRPr="008E1E40" w:rsidRDefault="008E1E40" w:rsidP="00C31636">
            <w:pPr>
              <w:pStyle w:val="TableRowCentered"/>
              <w:ind w:left="0" w:right="0"/>
              <w:jc w:val="left"/>
              <w:rPr>
                <w:sz w:val="22"/>
              </w:rPr>
            </w:pPr>
            <w:r w:rsidRPr="008E1E40">
              <w:rPr>
                <w:sz w:val="22"/>
              </w:rPr>
              <w:t>Evidence shows that high quality teaching is the most important lever to improving pupil attainment</w:t>
            </w:r>
          </w:p>
          <w:p w14:paraId="0D9ACA4A" w14:textId="77777777" w:rsidR="008E1E40" w:rsidRDefault="008E1E40" w:rsidP="00C31636">
            <w:pPr>
              <w:pStyle w:val="TableRowCentered"/>
              <w:ind w:left="0" w:right="0"/>
              <w:jc w:val="left"/>
              <w:rPr>
                <w:sz w:val="22"/>
                <w:u w:val="single"/>
              </w:rPr>
            </w:pPr>
          </w:p>
          <w:p w14:paraId="5AC690F6" w14:textId="78F19683" w:rsidR="008E1E40" w:rsidRPr="008E1E40" w:rsidRDefault="008E1E40" w:rsidP="00C31636">
            <w:pPr>
              <w:pStyle w:val="TableRowCentered"/>
              <w:ind w:left="0" w:right="0"/>
              <w:jc w:val="left"/>
              <w:rPr>
                <w:sz w:val="22"/>
                <w:u w:val="single"/>
              </w:rPr>
            </w:pPr>
            <w:r>
              <w:rPr>
                <w:sz w:val="22"/>
                <w:u w:val="single"/>
              </w:rPr>
              <w:t>EEF Great Teaching Toolkit</w:t>
            </w:r>
          </w:p>
          <w:p w14:paraId="02455E41" w14:textId="77777777" w:rsidR="008E1E40" w:rsidRDefault="008E1E40" w:rsidP="00C31636">
            <w:pPr>
              <w:pStyle w:val="TableRowCentered"/>
              <w:ind w:left="0" w:right="0"/>
              <w:jc w:val="left"/>
              <w:rPr>
                <w:sz w:val="22"/>
              </w:rPr>
            </w:pPr>
          </w:p>
          <w:p w14:paraId="2ED4FDC1" w14:textId="0A47607C" w:rsidR="008E1E40" w:rsidRDefault="008E1E40"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7B47F" w14:textId="25B41E6F" w:rsidR="00631C6C" w:rsidRDefault="00A267DC" w:rsidP="00C31636">
            <w:pPr>
              <w:pStyle w:val="TableRowCentered"/>
              <w:ind w:left="0" w:right="0"/>
              <w:jc w:val="left"/>
              <w:rPr>
                <w:sz w:val="22"/>
              </w:rPr>
            </w:pPr>
            <w:r>
              <w:rPr>
                <w:sz w:val="22"/>
              </w:rPr>
              <w:t>1, 5, 4</w:t>
            </w:r>
          </w:p>
        </w:tc>
      </w:tr>
      <w:tr w:rsidR="00631C6C" w14:paraId="66A25BD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4252" w14:textId="5E88E635" w:rsidR="00631C6C" w:rsidRDefault="002A6167" w:rsidP="00C31636">
            <w:pPr>
              <w:pStyle w:val="TableRow"/>
              <w:ind w:left="0" w:right="0"/>
              <w:rPr>
                <w:iCs/>
                <w:sz w:val="22"/>
              </w:rPr>
            </w:pPr>
            <w:r>
              <w:rPr>
                <w:iCs/>
                <w:sz w:val="22"/>
              </w:rPr>
              <w:t xml:space="preserve">Release time for </w:t>
            </w:r>
            <w:r w:rsidR="00D04731">
              <w:rPr>
                <w:iCs/>
                <w:sz w:val="22"/>
              </w:rPr>
              <w:t>teachers to embed key elements of our whole school approach to the teaching of wri</w:t>
            </w:r>
            <w:r w:rsidR="006D3555">
              <w:rPr>
                <w:iCs/>
                <w:sz w:val="22"/>
              </w:rPr>
              <w:t>ting, Quality First Teaching and Assessment</w:t>
            </w:r>
          </w:p>
          <w:p w14:paraId="00A5FADA" w14:textId="77777777" w:rsidR="00D04731" w:rsidRDefault="00D04731" w:rsidP="00C31636">
            <w:pPr>
              <w:pStyle w:val="TableRow"/>
              <w:ind w:left="0" w:right="0"/>
              <w:rPr>
                <w:iCs/>
                <w:sz w:val="22"/>
              </w:rPr>
            </w:pPr>
          </w:p>
          <w:p w14:paraId="1D71DDDD" w14:textId="725DD534" w:rsidR="00D04731" w:rsidRDefault="00D04731" w:rsidP="00C31636">
            <w:pPr>
              <w:pStyle w:val="TableRow"/>
              <w:ind w:left="0" w:right="0"/>
              <w:rPr>
                <w:iCs/>
                <w:sz w:val="22"/>
              </w:rPr>
            </w:pPr>
            <w:r>
              <w:rPr>
                <w:iCs/>
                <w:sz w:val="22"/>
              </w:rPr>
              <w:t>£</w:t>
            </w:r>
            <w:r w:rsidR="006C0ADD">
              <w:rPr>
                <w:iCs/>
                <w:sz w:val="22"/>
              </w:rPr>
              <w:t>3</w:t>
            </w:r>
            <w:r>
              <w:rPr>
                <w:iCs/>
                <w:sz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4260" w14:textId="77777777" w:rsidR="006D3555" w:rsidRDefault="006D3555" w:rsidP="006D3555">
            <w:pPr>
              <w:pStyle w:val="TableRowCentered"/>
              <w:ind w:left="0" w:right="0"/>
              <w:jc w:val="left"/>
              <w:rPr>
                <w:sz w:val="22"/>
                <w:u w:val="single"/>
              </w:rPr>
            </w:pPr>
            <w:r w:rsidRPr="008E1E40">
              <w:rPr>
                <w:sz w:val="22"/>
                <w:u w:val="single"/>
              </w:rPr>
              <w:t>EEF Effective Professional Development</w:t>
            </w:r>
          </w:p>
          <w:p w14:paraId="201C54B8" w14:textId="77777777" w:rsidR="006D3555" w:rsidRDefault="006D3555" w:rsidP="006D3555">
            <w:pPr>
              <w:pStyle w:val="TableRowCentered"/>
              <w:ind w:left="0" w:right="0"/>
              <w:jc w:val="left"/>
              <w:rPr>
                <w:sz w:val="22"/>
                <w:u w:val="single"/>
              </w:rPr>
            </w:pPr>
          </w:p>
          <w:p w14:paraId="70327B0C" w14:textId="1546396A" w:rsidR="006D3555" w:rsidRDefault="006D3555" w:rsidP="006D3555">
            <w:pPr>
              <w:pStyle w:val="TableRowCentered"/>
              <w:ind w:left="0" w:right="0"/>
              <w:jc w:val="left"/>
              <w:rPr>
                <w:sz w:val="22"/>
                <w:u w:val="single"/>
              </w:rPr>
            </w:pPr>
            <w:r>
              <w:rPr>
                <w:sz w:val="22"/>
                <w:u w:val="single"/>
              </w:rPr>
              <w:t>EEF Great Teaching Toolkit</w:t>
            </w:r>
          </w:p>
          <w:p w14:paraId="4215577F" w14:textId="47CA819F" w:rsidR="006D3555" w:rsidRDefault="006D3555" w:rsidP="006D3555">
            <w:pPr>
              <w:pStyle w:val="TableRowCentered"/>
              <w:ind w:left="0" w:right="0"/>
              <w:jc w:val="left"/>
              <w:rPr>
                <w:sz w:val="22"/>
                <w:u w:val="single"/>
              </w:rPr>
            </w:pPr>
          </w:p>
          <w:p w14:paraId="3EDB8C79" w14:textId="00196B84" w:rsidR="006D3555" w:rsidRPr="008E1E40" w:rsidRDefault="006D3555" w:rsidP="006D3555">
            <w:pPr>
              <w:pStyle w:val="TableRowCentered"/>
              <w:ind w:left="0" w:right="0"/>
              <w:jc w:val="left"/>
              <w:rPr>
                <w:sz w:val="22"/>
                <w:u w:val="single"/>
              </w:rPr>
            </w:pPr>
            <w:r>
              <w:rPr>
                <w:sz w:val="22"/>
                <w:u w:val="single"/>
              </w:rPr>
              <w:t>EEF Implementing Change</w:t>
            </w:r>
          </w:p>
          <w:p w14:paraId="345939B5" w14:textId="77777777" w:rsidR="00631C6C" w:rsidRDefault="00631C6C"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7A719" w14:textId="2302E892" w:rsidR="00631C6C" w:rsidRDefault="00A267DC" w:rsidP="00C31636">
            <w:pPr>
              <w:pStyle w:val="TableRowCentered"/>
              <w:ind w:left="0" w:right="0"/>
              <w:jc w:val="left"/>
              <w:rPr>
                <w:sz w:val="22"/>
              </w:rPr>
            </w:pPr>
            <w:r>
              <w:rPr>
                <w:sz w:val="22"/>
              </w:rPr>
              <w:t>1, 4, 5</w:t>
            </w:r>
          </w:p>
        </w:tc>
      </w:tr>
    </w:tbl>
    <w:p w14:paraId="65A3C634" w14:textId="77777777" w:rsidR="00266FEA" w:rsidRDefault="00266FEA"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66F67936" w:rsidR="00E66558" w:rsidRPr="006C0ADD" w:rsidRDefault="009D71E8">
      <w:pPr>
        <w:rPr>
          <w:color w:val="auto"/>
        </w:rPr>
      </w:pPr>
      <w:r>
        <w:t>Budgeted cost: £</w:t>
      </w:r>
      <w:r w:rsidR="006C0ADD" w:rsidRPr="006C0ADD">
        <w:rPr>
          <w:color w:val="auto"/>
        </w:rPr>
        <w:t>13,474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77093" w14:textId="342067FF" w:rsidR="00E66558" w:rsidRDefault="00631C6C" w:rsidP="00C31636">
            <w:pPr>
              <w:pStyle w:val="TableRow"/>
              <w:ind w:left="0" w:right="0"/>
            </w:pPr>
            <w:r>
              <w:lastRenderedPageBreak/>
              <w:t xml:space="preserve">Interventions in maths </w:t>
            </w:r>
          </w:p>
          <w:p w14:paraId="22B30DA7" w14:textId="77777777" w:rsidR="006D3555" w:rsidRDefault="006D3555" w:rsidP="00C31636">
            <w:pPr>
              <w:pStyle w:val="TableRow"/>
              <w:ind w:left="0" w:right="0"/>
            </w:pPr>
          </w:p>
          <w:p w14:paraId="2A7D5529" w14:textId="26090046" w:rsidR="006D3555" w:rsidRPr="006D3555" w:rsidRDefault="006D3555" w:rsidP="00C31636">
            <w:pPr>
              <w:pStyle w:val="TableRow"/>
              <w:ind w:left="0" w:right="0"/>
              <w:rPr>
                <w:i/>
                <w:iCs/>
              </w:rPr>
            </w:pPr>
            <w:r w:rsidRPr="006C0ADD">
              <w:rPr>
                <w:i/>
                <w:iCs/>
                <w:color w:val="auto"/>
              </w:rPr>
              <w:t>£</w:t>
            </w:r>
            <w:r w:rsidR="006C0ADD" w:rsidRPr="006C0ADD">
              <w:rPr>
                <w:i/>
                <w:iCs/>
                <w:color w:val="auto"/>
              </w:rPr>
              <w:t>2</w:t>
            </w:r>
            <w:r w:rsidR="007E4117" w:rsidRPr="006C0ADD">
              <w:rPr>
                <w:i/>
                <w:iCs/>
                <w:color w:val="auto"/>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A86BD" w14:textId="77777777" w:rsidR="00E66558" w:rsidRDefault="006D3555" w:rsidP="00C31636">
            <w:pPr>
              <w:pStyle w:val="TableRowCentered"/>
              <w:ind w:left="0" w:right="0"/>
              <w:jc w:val="left"/>
              <w:rPr>
                <w:sz w:val="22"/>
                <w:u w:val="single"/>
              </w:rPr>
            </w:pPr>
            <w:r w:rsidRPr="006D3555">
              <w:rPr>
                <w:sz w:val="22"/>
                <w:u w:val="single"/>
              </w:rPr>
              <w:t>EEF Improving mathematics in KS1 and KS2</w:t>
            </w:r>
          </w:p>
          <w:p w14:paraId="3F24E045" w14:textId="77777777" w:rsidR="00820796" w:rsidRDefault="00820796" w:rsidP="00C31636">
            <w:pPr>
              <w:pStyle w:val="TableRowCentered"/>
              <w:ind w:left="0" w:right="0"/>
              <w:jc w:val="left"/>
              <w:rPr>
                <w:sz w:val="22"/>
                <w:u w:val="single"/>
              </w:rPr>
            </w:pPr>
          </w:p>
          <w:p w14:paraId="2A7D552A" w14:textId="5F7677EE" w:rsidR="00820796" w:rsidRPr="006D3555" w:rsidRDefault="00820796" w:rsidP="00C31636">
            <w:pPr>
              <w:pStyle w:val="TableRowCentered"/>
              <w:ind w:left="0" w:right="0"/>
              <w:jc w:val="left"/>
              <w:rPr>
                <w:sz w:val="22"/>
                <w:u w:val="single"/>
              </w:rPr>
            </w:pPr>
            <w:r>
              <w:rPr>
                <w:sz w:val="22"/>
                <w:u w:val="single"/>
              </w:rPr>
              <w:t>EEF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845FEDB" w:rsidR="00E66558" w:rsidRDefault="00A267DC" w:rsidP="00C31636">
            <w:pPr>
              <w:pStyle w:val="TableRowCentered"/>
              <w:ind w:left="0" w:right="0"/>
              <w:jc w:val="left"/>
              <w:rPr>
                <w:sz w:val="22"/>
              </w:rPr>
            </w:pPr>
            <w:r>
              <w:rPr>
                <w:sz w:val="22"/>
              </w:rPr>
              <w:t>1, 4, 5</w:t>
            </w:r>
          </w:p>
        </w:tc>
      </w:tr>
      <w:tr w:rsidR="00631C6C" w14:paraId="161E3AF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1A3F0" w14:textId="698C0CC7" w:rsidR="00266FEA" w:rsidRDefault="006D3555" w:rsidP="00C31636">
            <w:pPr>
              <w:pStyle w:val="TableRow"/>
              <w:ind w:left="0" w:right="0"/>
              <w:rPr>
                <w:iCs/>
                <w:sz w:val="22"/>
              </w:rPr>
            </w:pPr>
            <w:r>
              <w:rPr>
                <w:iCs/>
                <w:sz w:val="22"/>
              </w:rPr>
              <w:t>Teaching Assistant support to lead interventions in reading, writing and maths</w:t>
            </w:r>
          </w:p>
          <w:p w14:paraId="43A3C2D2" w14:textId="77777777" w:rsidR="006D3555" w:rsidRDefault="006D3555" w:rsidP="00C31636">
            <w:pPr>
              <w:pStyle w:val="TableRow"/>
              <w:ind w:left="0" w:right="0"/>
              <w:rPr>
                <w:iCs/>
                <w:sz w:val="22"/>
              </w:rPr>
            </w:pPr>
          </w:p>
          <w:p w14:paraId="2B8F3B2F" w14:textId="62895632" w:rsidR="00266FEA" w:rsidRPr="00266FEA" w:rsidRDefault="00266FEA" w:rsidP="00C31636">
            <w:pPr>
              <w:pStyle w:val="TableRow"/>
              <w:ind w:left="0" w:right="0"/>
              <w:rPr>
                <w:i/>
                <w:sz w:val="22"/>
              </w:rPr>
            </w:pPr>
            <w:r w:rsidRPr="006C0ADD">
              <w:rPr>
                <w:i/>
                <w:color w:val="auto"/>
                <w:sz w:val="22"/>
              </w:rPr>
              <w:t>£</w:t>
            </w:r>
            <w:r w:rsidR="006C0ADD" w:rsidRPr="006C0ADD">
              <w:rPr>
                <w:i/>
                <w:color w:val="auto"/>
                <w:sz w:val="22"/>
              </w:rPr>
              <w:t>8,</w:t>
            </w:r>
            <w:r w:rsidRPr="006C0ADD">
              <w:rPr>
                <w:i/>
                <w:color w:val="auto"/>
                <w:sz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E4288" w14:textId="6667AB4C" w:rsidR="00631C6C" w:rsidRPr="006D3555" w:rsidRDefault="006D3555" w:rsidP="00C31636">
            <w:pPr>
              <w:pStyle w:val="TableRowCentered"/>
              <w:ind w:left="0" w:right="0"/>
              <w:jc w:val="left"/>
              <w:rPr>
                <w:sz w:val="22"/>
                <w:u w:val="single"/>
              </w:rPr>
            </w:pPr>
            <w:r w:rsidRPr="006D3555">
              <w:rPr>
                <w:sz w:val="22"/>
                <w:u w:val="single"/>
              </w:rPr>
              <w:t>EEF Making the Best Use of Teaching Assistants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B27AF" w14:textId="3522F35D" w:rsidR="00631C6C" w:rsidRDefault="00A267DC" w:rsidP="00C31636">
            <w:pPr>
              <w:pStyle w:val="TableRowCentered"/>
              <w:ind w:left="0" w:right="0"/>
              <w:jc w:val="left"/>
              <w:rPr>
                <w:sz w:val="22"/>
              </w:rPr>
            </w:pPr>
            <w:r>
              <w:rPr>
                <w:sz w:val="22"/>
              </w:rPr>
              <w:t>1, 4, 5</w:t>
            </w:r>
          </w:p>
        </w:tc>
      </w:tr>
      <w:tr w:rsidR="00631C6C" w14:paraId="31DCEFA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F3FB" w14:textId="77777777" w:rsidR="00631C6C" w:rsidRDefault="00D04731" w:rsidP="00C31636">
            <w:pPr>
              <w:pStyle w:val="TableRow"/>
              <w:ind w:left="0" w:right="0"/>
              <w:rPr>
                <w:iCs/>
                <w:sz w:val="22"/>
              </w:rPr>
            </w:pPr>
            <w:r>
              <w:rPr>
                <w:iCs/>
                <w:sz w:val="22"/>
              </w:rPr>
              <w:t>Phonics interventions</w:t>
            </w:r>
          </w:p>
          <w:p w14:paraId="2EFECC82" w14:textId="77777777" w:rsidR="00D04731" w:rsidRDefault="00D04731" w:rsidP="00C31636">
            <w:pPr>
              <w:pStyle w:val="TableRow"/>
              <w:ind w:left="0" w:right="0"/>
              <w:rPr>
                <w:iCs/>
                <w:sz w:val="22"/>
              </w:rPr>
            </w:pPr>
          </w:p>
          <w:p w14:paraId="1B7B3644" w14:textId="7059A162" w:rsidR="00D04731" w:rsidRPr="00D04731" w:rsidRDefault="00D04731" w:rsidP="00C31636">
            <w:pPr>
              <w:pStyle w:val="TableRow"/>
              <w:ind w:left="0" w:right="0"/>
              <w:rPr>
                <w:i/>
                <w:sz w:val="22"/>
              </w:rPr>
            </w:pPr>
            <w:r w:rsidRPr="006C0ADD">
              <w:rPr>
                <w:i/>
                <w:color w:val="auto"/>
                <w:sz w:val="22"/>
              </w:rPr>
              <w:t>£</w:t>
            </w:r>
            <w:r w:rsidR="006C0ADD" w:rsidRPr="006C0ADD">
              <w:rPr>
                <w:i/>
                <w:color w:val="auto"/>
                <w:sz w:val="22"/>
              </w:rPr>
              <w:t>20</w:t>
            </w:r>
            <w:r w:rsidRPr="006C0ADD">
              <w:rPr>
                <w:i/>
                <w:color w:val="auto"/>
                <w:sz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D8F71" w14:textId="61C040B3" w:rsidR="00631C6C" w:rsidRPr="00820796" w:rsidRDefault="00820796" w:rsidP="00C31636">
            <w:pPr>
              <w:pStyle w:val="TableRowCentered"/>
              <w:ind w:left="0" w:right="0"/>
              <w:jc w:val="left"/>
              <w:rPr>
                <w:sz w:val="22"/>
                <w:u w:val="single"/>
              </w:rPr>
            </w:pPr>
            <w:r w:rsidRPr="00820796">
              <w:rPr>
                <w:sz w:val="22"/>
                <w:u w:val="single"/>
              </w:rPr>
              <w:t xml:space="preserve">EEF </w:t>
            </w:r>
            <w:r>
              <w:rPr>
                <w:sz w:val="22"/>
                <w:u w:val="single"/>
              </w:rPr>
              <w:t>T</w:t>
            </w:r>
            <w:r w:rsidRPr="00820796">
              <w:rPr>
                <w:sz w:val="22"/>
                <w:u w:val="single"/>
              </w:rPr>
              <w: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B97E" w14:textId="4458F19A" w:rsidR="00631C6C" w:rsidRDefault="00A267DC" w:rsidP="00C31636">
            <w:pPr>
              <w:pStyle w:val="TableRowCentered"/>
              <w:ind w:left="0" w:right="0"/>
              <w:jc w:val="left"/>
              <w:rPr>
                <w:sz w:val="22"/>
              </w:rPr>
            </w:pPr>
            <w:r>
              <w:rPr>
                <w:sz w:val="22"/>
              </w:rPr>
              <w:t>1, 4, 5</w:t>
            </w:r>
          </w:p>
        </w:tc>
      </w:tr>
      <w:tr w:rsidR="006C0ADD" w14:paraId="4474E0A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488D5" w14:textId="22048D98" w:rsidR="006C0ADD" w:rsidRDefault="006C0ADD" w:rsidP="00C31636">
            <w:pPr>
              <w:pStyle w:val="TableRow"/>
              <w:ind w:left="0" w:right="0"/>
              <w:rPr>
                <w:iCs/>
                <w:sz w:val="22"/>
              </w:rPr>
            </w:pPr>
            <w:r>
              <w:rPr>
                <w:iCs/>
                <w:sz w:val="22"/>
              </w:rPr>
              <w:t>Resources to support interventions in reading writing and maths – CGP books, widget, Test base, Times Table Rockstars</w:t>
            </w:r>
          </w:p>
          <w:p w14:paraId="46424FD9" w14:textId="77777777" w:rsidR="006C0ADD" w:rsidRDefault="006C0ADD" w:rsidP="00C31636">
            <w:pPr>
              <w:pStyle w:val="TableRow"/>
              <w:ind w:left="0" w:right="0"/>
              <w:rPr>
                <w:iCs/>
                <w:sz w:val="22"/>
              </w:rPr>
            </w:pPr>
          </w:p>
          <w:p w14:paraId="56CDFD8D" w14:textId="0CAE41D5" w:rsidR="006C0ADD" w:rsidRDefault="006C0ADD" w:rsidP="00C31636">
            <w:pPr>
              <w:pStyle w:val="TableRow"/>
              <w:ind w:left="0" w:right="0"/>
              <w:rPr>
                <w:iCs/>
                <w:sz w:val="22"/>
              </w:rPr>
            </w:pPr>
            <w:r w:rsidRPr="006C0ADD">
              <w:rPr>
                <w:iCs/>
                <w:color w:val="auto"/>
                <w:sz w:val="22"/>
              </w:rPr>
              <w:t>£</w:t>
            </w:r>
            <w:r w:rsidRPr="006C0ADD">
              <w:rPr>
                <w:i/>
                <w:color w:val="auto"/>
                <w:sz w:val="22"/>
              </w:rPr>
              <w:t>1474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4E33D" w14:textId="6DFC8992" w:rsidR="006C0ADD" w:rsidRPr="00820796" w:rsidRDefault="006C0ADD" w:rsidP="00C31636">
            <w:pPr>
              <w:pStyle w:val="TableRowCentered"/>
              <w:ind w:left="0" w:right="0"/>
              <w:jc w:val="left"/>
              <w:rPr>
                <w:sz w:val="22"/>
                <w:u w:val="single"/>
              </w:rPr>
            </w:pPr>
            <w:r>
              <w:rPr>
                <w:sz w:val="22"/>
                <w:u w:val="single"/>
              </w:rPr>
              <w:t>EEF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6CE9" w14:textId="627598C1" w:rsidR="006C0ADD" w:rsidRDefault="006C0ADD" w:rsidP="00C31636">
            <w:pPr>
              <w:pStyle w:val="TableRowCentered"/>
              <w:ind w:left="0" w:right="0"/>
              <w:jc w:val="left"/>
              <w:rPr>
                <w:sz w:val="22"/>
              </w:rPr>
            </w:pPr>
            <w:r>
              <w:rPr>
                <w:sz w:val="22"/>
              </w:rPr>
              <w:t>1, 5</w:t>
            </w:r>
          </w:p>
        </w:tc>
      </w:tr>
    </w:tbl>
    <w:p w14:paraId="2A7D5531" w14:textId="77777777" w:rsidR="00E66558" w:rsidRDefault="00E66558" w:rsidP="00AA355B"/>
    <w:p w14:paraId="22FF66B4" w14:textId="317DF97E" w:rsidR="00631C6C" w:rsidRDefault="009D71E8" w:rsidP="002A6167">
      <w:pPr>
        <w:pStyle w:val="Heading3"/>
      </w:pPr>
      <w:r>
        <w:t>Wider strategies (for example, related to attendance, behaviour, wellbeing)</w:t>
      </w:r>
    </w:p>
    <w:p w14:paraId="2A7D5533" w14:textId="6D79C9E3" w:rsidR="00E66558" w:rsidRDefault="009D71E8">
      <w:pPr>
        <w:spacing w:before="240" w:after="120"/>
      </w:pPr>
      <w:r>
        <w:t>Budgeted cost: £</w:t>
      </w:r>
      <w:r w:rsidR="002A6167">
        <w:t>2</w:t>
      </w:r>
      <w:r w:rsidR="00064545">
        <w:t>6</w:t>
      </w:r>
      <w:r w:rsidR="00C969D5">
        <w:t>,</w:t>
      </w:r>
      <w:r w:rsidR="00064545">
        <w:t>521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0CF2B" w14:textId="6117AFC7" w:rsidR="00E66558" w:rsidRDefault="00631C6C" w:rsidP="00C31636">
            <w:pPr>
              <w:pStyle w:val="TableRow"/>
              <w:ind w:left="0" w:right="0"/>
              <w:rPr>
                <w:sz w:val="22"/>
                <w:szCs w:val="22"/>
              </w:rPr>
            </w:pPr>
            <w:r>
              <w:rPr>
                <w:sz w:val="22"/>
                <w:szCs w:val="22"/>
              </w:rPr>
              <w:t xml:space="preserve">Home School Link Worker </w:t>
            </w:r>
          </w:p>
          <w:p w14:paraId="64BF3DA2" w14:textId="77777777" w:rsidR="00266FEA" w:rsidRDefault="00266FEA" w:rsidP="00C31636">
            <w:pPr>
              <w:pStyle w:val="TableRow"/>
              <w:ind w:left="0" w:right="0"/>
              <w:rPr>
                <w:sz w:val="22"/>
                <w:szCs w:val="22"/>
              </w:rPr>
            </w:pPr>
          </w:p>
          <w:p w14:paraId="2A7D5538" w14:textId="7267DFE3" w:rsidR="00631C6C" w:rsidRPr="00266FEA" w:rsidRDefault="00631C6C" w:rsidP="00C31636">
            <w:pPr>
              <w:pStyle w:val="TableRow"/>
              <w:ind w:left="0" w:right="0"/>
              <w:rPr>
                <w:i/>
                <w:iCs/>
              </w:rPr>
            </w:pPr>
            <w:r w:rsidRPr="00266FEA">
              <w:rPr>
                <w:i/>
                <w:iCs/>
              </w:rPr>
              <w:t>£1</w:t>
            </w:r>
            <w:r w:rsidR="00067F4D">
              <w:rPr>
                <w:i/>
                <w:iCs/>
              </w:rPr>
              <w:t>7,500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2153B7B" w:rsidR="00E66558" w:rsidRDefault="00F44F1B" w:rsidP="00C31636">
            <w:pPr>
              <w:pStyle w:val="TableRowCentered"/>
              <w:ind w:left="0" w:right="0"/>
              <w:jc w:val="left"/>
              <w:rPr>
                <w:sz w:val="22"/>
              </w:rPr>
            </w:pPr>
            <w:r>
              <w:rPr>
                <w:sz w:val="22"/>
              </w:rPr>
              <w:t>Feedback from families and teachers is that HSLW support enables parents to engage with school and provide support for their children’s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3A7A1C0" w:rsidR="00E66558" w:rsidRDefault="00A267DC" w:rsidP="00C31636">
            <w:pPr>
              <w:pStyle w:val="TableRowCentered"/>
              <w:ind w:left="0" w:right="0"/>
              <w:jc w:val="left"/>
              <w:rPr>
                <w:sz w:val="22"/>
              </w:rPr>
            </w:pPr>
            <w:r>
              <w:rPr>
                <w:sz w:val="22"/>
              </w:rPr>
              <w:t>2, 3, 5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0BEE1" w14:textId="77777777" w:rsidR="00E66558" w:rsidRDefault="00631C6C" w:rsidP="00C31636">
            <w:pPr>
              <w:pStyle w:val="TableRow"/>
              <w:ind w:left="0" w:right="0"/>
              <w:rPr>
                <w:iCs/>
                <w:sz w:val="22"/>
              </w:rPr>
            </w:pPr>
            <w:r>
              <w:rPr>
                <w:iCs/>
                <w:sz w:val="22"/>
              </w:rPr>
              <w:t>Play Therapy</w:t>
            </w:r>
          </w:p>
          <w:p w14:paraId="7FD34625" w14:textId="77777777" w:rsidR="00266FEA" w:rsidRDefault="00266FEA" w:rsidP="00C31636">
            <w:pPr>
              <w:pStyle w:val="TableRow"/>
              <w:ind w:left="0" w:right="0"/>
              <w:rPr>
                <w:iCs/>
                <w:sz w:val="22"/>
              </w:rPr>
            </w:pPr>
          </w:p>
          <w:p w14:paraId="2A7D553C" w14:textId="0C3BF60B" w:rsidR="00266FEA" w:rsidRPr="00266FEA" w:rsidRDefault="00266FEA" w:rsidP="00C31636">
            <w:pPr>
              <w:pStyle w:val="TableRow"/>
              <w:ind w:left="0" w:right="0"/>
              <w:rPr>
                <w:i/>
                <w:sz w:val="22"/>
              </w:rPr>
            </w:pPr>
            <w:r w:rsidRPr="00266FEA">
              <w:rPr>
                <w:i/>
                <w:sz w:val="22"/>
              </w:rPr>
              <w:t>£</w:t>
            </w:r>
            <w:r w:rsidR="00067F4D">
              <w:rPr>
                <w:i/>
                <w:sz w:val="22"/>
              </w:rPr>
              <w:t>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54F" w14:textId="7891FB15" w:rsidR="00EE3866" w:rsidRDefault="00EE3866" w:rsidP="00EE3866">
            <w:pPr>
              <w:pStyle w:val="TableRowCentered"/>
              <w:ind w:left="0" w:right="0"/>
              <w:jc w:val="left"/>
              <w:rPr>
                <w:sz w:val="22"/>
              </w:rPr>
            </w:pPr>
            <w:r>
              <w:rPr>
                <w:sz w:val="22"/>
              </w:rPr>
              <w:t>EEF Guidance on Improving social and emotional learning in primary schools.</w:t>
            </w:r>
          </w:p>
          <w:p w14:paraId="135A5F40" w14:textId="07FFD41E" w:rsidR="00EE3866" w:rsidRDefault="00EE3866" w:rsidP="00EE3866">
            <w:pPr>
              <w:pStyle w:val="TableRowCentered"/>
              <w:ind w:left="0" w:right="0"/>
              <w:jc w:val="left"/>
              <w:rPr>
                <w:sz w:val="22"/>
              </w:rPr>
            </w:pPr>
            <w:r>
              <w:rPr>
                <w:sz w:val="22"/>
              </w:rPr>
              <w:t>Some pupils have needs which require specialist support and therapy.  This supports their emotional well-being and mental health which in turn supports improved engagement in learning.</w:t>
            </w:r>
          </w:p>
          <w:p w14:paraId="2A7D553D"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D3A13FA" w:rsidR="00E66558" w:rsidRDefault="00A267DC" w:rsidP="00C31636">
            <w:pPr>
              <w:pStyle w:val="TableRowCentered"/>
              <w:ind w:left="0" w:right="0"/>
              <w:jc w:val="left"/>
              <w:rPr>
                <w:sz w:val="22"/>
              </w:rPr>
            </w:pPr>
            <w:r>
              <w:rPr>
                <w:sz w:val="22"/>
              </w:rPr>
              <w:t>2, 3, 5</w:t>
            </w:r>
          </w:p>
        </w:tc>
      </w:tr>
      <w:tr w:rsidR="00631C6C" w14:paraId="1A3A546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4841" w14:textId="77777777" w:rsidR="00631C6C" w:rsidRDefault="00631C6C" w:rsidP="00C31636">
            <w:pPr>
              <w:pStyle w:val="TableRow"/>
              <w:ind w:left="0" w:right="0"/>
              <w:rPr>
                <w:iCs/>
                <w:sz w:val="22"/>
              </w:rPr>
            </w:pPr>
            <w:r>
              <w:rPr>
                <w:iCs/>
                <w:sz w:val="22"/>
              </w:rPr>
              <w:t>Breakfast Club Lead</w:t>
            </w:r>
          </w:p>
          <w:p w14:paraId="2E339912" w14:textId="77777777" w:rsidR="00266FEA" w:rsidRDefault="00266FEA" w:rsidP="00C31636">
            <w:pPr>
              <w:pStyle w:val="TableRow"/>
              <w:ind w:left="0" w:right="0"/>
              <w:rPr>
                <w:iCs/>
                <w:sz w:val="22"/>
              </w:rPr>
            </w:pPr>
          </w:p>
          <w:p w14:paraId="56DB534C" w14:textId="1E519CAA" w:rsidR="00266FEA" w:rsidRPr="00266FEA" w:rsidRDefault="00266FEA" w:rsidP="00C31636">
            <w:pPr>
              <w:pStyle w:val="TableRow"/>
              <w:ind w:left="0" w:right="0"/>
              <w:rPr>
                <w:i/>
                <w:sz w:val="22"/>
              </w:rPr>
            </w:pPr>
            <w:r w:rsidRPr="00EE3866">
              <w:rPr>
                <w:i/>
                <w:sz w:val="22"/>
              </w:rPr>
              <w:t>£</w:t>
            </w:r>
            <w:r w:rsidR="000706C6">
              <w:rPr>
                <w:i/>
                <w:sz w:val="22"/>
              </w:rPr>
              <w:t>1700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8112" w14:textId="48EEAA0F" w:rsidR="00631C6C" w:rsidRDefault="00F44F1B" w:rsidP="00C31636">
            <w:pPr>
              <w:pStyle w:val="TableRowCentered"/>
              <w:ind w:left="0" w:right="0"/>
              <w:jc w:val="left"/>
              <w:rPr>
                <w:sz w:val="22"/>
              </w:rPr>
            </w:pPr>
            <w:r>
              <w:rPr>
                <w:sz w:val="22"/>
              </w:rPr>
              <w:t>Attendance at Breakfast Club ensures children have a good start to the day.  They have a healthy breakfast and they learn social skills which supports their well0being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F700D" w14:textId="03C606C6" w:rsidR="00631C6C" w:rsidRDefault="00A267DC" w:rsidP="00C31636">
            <w:pPr>
              <w:pStyle w:val="TableRowCentered"/>
              <w:ind w:left="0" w:right="0"/>
              <w:jc w:val="left"/>
              <w:rPr>
                <w:sz w:val="22"/>
              </w:rPr>
            </w:pPr>
            <w:r>
              <w:rPr>
                <w:sz w:val="22"/>
              </w:rPr>
              <w:t>2, 3, 5</w:t>
            </w:r>
          </w:p>
        </w:tc>
      </w:tr>
      <w:tr w:rsidR="00631C6C" w14:paraId="3C5AC66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2A1F5" w14:textId="77777777" w:rsidR="00631C6C" w:rsidRDefault="00D04731" w:rsidP="00C31636">
            <w:pPr>
              <w:pStyle w:val="TableRow"/>
              <w:ind w:left="0" w:right="0"/>
              <w:rPr>
                <w:iCs/>
                <w:sz w:val="22"/>
              </w:rPr>
            </w:pPr>
            <w:r>
              <w:rPr>
                <w:iCs/>
                <w:sz w:val="22"/>
              </w:rPr>
              <w:lastRenderedPageBreak/>
              <w:t>Measures to support and improve pupil attendance</w:t>
            </w:r>
          </w:p>
          <w:p w14:paraId="0AB6F266" w14:textId="77777777" w:rsidR="00EE3866" w:rsidRDefault="00EE3866" w:rsidP="00C31636">
            <w:pPr>
              <w:pStyle w:val="TableRow"/>
              <w:ind w:left="0" w:right="0"/>
              <w:rPr>
                <w:iCs/>
                <w:sz w:val="22"/>
              </w:rPr>
            </w:pPr>
          </w:p>
          <w:p w14:paraId="0B6F027B" w14:textId="5E305038" w:rsidR="00EE3866" w:rsidRPr="00EE3866" w:rsidRDefault="00EE3866" w:rsidP="00C31636">
            <w:pPr>
              <w:pStyle w:val="TableRow"/>
              <w:ind w:left="0" w:right="0"/>
              <w:rPr>
                <w:i/>
                <w:sz w:val="22"/>
              </w:rPr>
            </w:pPr>
            <w:r w:rsidRPr="00EE3866">
              <w:rPr>
                <w:i/>
                <w:sz w:val="22"/>
              </w:rPr>
              <w:t>£3</w:t>
            </w:r>
            <w:r w:rsidR="00F36EF0">
              <w:rPr>
                <w:i/>
                <w:sz w:val="22"/>
              </w:rPr>
              <w:t>21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F077" w14:textId="655FA8FA" w:rsidR="00631C6C" w:rsidRDefault="00EE3866" w:rsidP="00C31636">
            <w:pPr>
              <w:pStyle w:val="TableRowCentered"/>
              <w:ind w:left="0" w:right="0"/>
              <w:jc w:val="left"/>
              <w:rPr>
                <w:sz w:val="22"/>
              </w:rPr>
            </w:pPr>
            <w:r>
              <w:rPr>
                <w:sz w:val="22"/>
              </w:rPr>
              <w:t xml:space="preserve">EEF supporting </w:t>
            </w:r>
            <w:r w:rsidR="00D01BA7">
              <w:rPr>
                <w:sz w:val="22"/>
              </w:rPr>
              <w:t xml:space="preserve">school </w:t>
            </w:r>
            <w:r>
              <w:rPr>
                <w:sz w:val="22"/>
              </w:rPr>
              <w:t>attendance resources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BDF86" w14:textId="16D3F76F" w:rsidR="00631C6C" w:rsidRDefault="00A267DC" w:rsidP="00C31636">
            <w:pPr>
              <w:pStyle w:val="TableRowCentered"/>
              <w:ind w:left="0" w:right="0"/>
              <w:jc w:val="left"/>
              <w:rPr>
                <w:sz w:val="22"/>
              </w:rPr>
            </w:pPr>
            <w:r>
              <w:rPr>
                <w:sz w:val="22"/>
              </w:rPr>
              <w:t>2, 3, 5</w:t>
            </w:r>
          </w:p>
        </w:tc>
      </w:tr>
      <w:tr w:rsidR="00631C6C" w14:paraId="42B39AD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14C6" w14:textId="77777777" w:rsidR="00631C6C" w:rsidRDefault="00D04731" w:rsidP="00C31636">
            <w:pPr>
              <w:pStyle w:val="TableRow"/>
              <w:ind w:left="0" w:right="0"/>
              <w:rPr>
                <w:iCs/>
                <w:sz w:val="22"/>
              </w:rPr>
            </w:pPr>
            <w:r>
              <w:rPr>
                <w:iCs/>
                <w:sz w:val="22"/>
              </w:rPr>
              <w:t>Music lessons (violin)</w:t>
            </w:r>
          </w:p>
          <w:p w14:paraId="01894692" w14:textId="77777777" w:rsidR="00D04731" w:rsidRDefault="00D04731" w:rsidP="00C31636">
            <w:pPr>
              <w:pStyle w:val="TableRow"/>
              <w:ind w:left="0" w:right="0"/>
              <w:rPr>
                <w:iCs/>
                <w:sz w:val="22"/>
              </w:rPr>
            </w:pPr>
          </w:p>
          <w:p w14:paraId="059C4DBA" w14:textId="3BD55ADE" w:rsidR="00D04731" w:rsidRPr="00D04731" w:rsidRDefault="00D04731" w:rsidP="00C31636">
            <w:pPr>
              <w:pStyle w:val="TableRow"/>
              <w:ind w:left="0" w:right="0"/>
              <w:rPr>
                <w:i/>
                <w:sz w:val="22"/>
              </w:rPr>
            </w:pPr>
            <w:r w:rsidRPr="00D04731">
              <w:rPr>
                <w:i/>
                <w:sz w:val="22"/>
              </w:rPr>
              <w:t>£1500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7DF5" w14:textId="5B64D634" w:rsidR="00631C6C" w:rsidRDefault="004530C7" w:rsidP="00C31636">
            <w:pPr>
              <w:pStyle w:val="TableRowCentered"/>
              <w:ind w:left="0" w:right="0"/>
              <w:jc w:val="left"/>
              <w:rPr>
                <w:sz w:val="22"/>
              </w:rPr>
            </w:pPr>
            <w:r>
              <w:rPr>
                <w:sz w:val="22"/>
              </w:rPr>
              <w:t>Learning to play a musical instrument supports children’s capital</w:t>
            </w:r>
            <w:r w:rsidR="00F44F1B">
              <w:rPr>
                <w:sz w:val="22"/>
              </w:rPr>
              <w:t>.  It develops confidence and improves concentration levels which can be applied to other areas of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31258" w14:textId="5CC80BDA" w:rsidR="00631C6C" w:rsidRDefault="00A267DC" w:rsidP="00C31636">
            <w:pPr>
              <w:pStyle w:val="TableRowCentered"/>
              <w:ind w:left="0" w:right="0"/>
              <w:jc w:val="left"/>
              <w:rPr>
                <w:sz w:val="22"/>
              </w:rPr>
            </w:pPr>
            <w:r>
              <w:rPr>
                <w:sz w:val="22"/>
              </w:rPr>
              <w:t>5</w:t>
            </w:r>
          </w:p>
        </w:tc>
      </w:tr>
      <w:tr w:rsidR="00067F4D" w14:paraId="67567D1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143E4" w14:textId="77777777" w:rsidR="00067F4D" w:rsidRDefault="00067F4D" w:rsidP="00C31636">
            <w:pPr>
              <w:pStyle w:val="TableRow"/>
              <w:ind w:left="0" w:right="0"/>
              <w:rPr>
                <w:iCs/>
                <w:sz w:val="22"/>
              </w:rPr>
            </w:pPr>
            <w:r>
              <w:rPr>
                <w:iCs/>
                <w:sz w:val="22"/>
              </w:rPr>
              <w:t>KS2 choir</w:t>
            </w:r>
          </w:p>
          <w:p w14:paraId="502A4BDC" w14:textId="77777777" w:rsidR="00067F4D" w:rsidRDefault="00067F4D" w:rsidP="00C31636">
            <w:pPr>
              <w:pStyle w:val="TableRow"/>
              <w:ind w:left="0" w:right="0"/>
              <w:rPr>
                <w:iCs/>
                <w:sz w:val="22"/>
              </w:rPr>
            </w:pPr>
          </w:p>
          <w:p w14:paraId="4309088C" w14:textId="498D18F6" w:rsidR="00067F4D" w:rsidRPr="00067F4D" w:rsidRDefault="00067F4D" w:rsidP="00C31636">
            <w:pPr>
              <w:pStyle w:val="TableRow"/>
              <w:ind w:left="0" w:right="0"/>
              <w:rPr>
                <w:i/>
                <w:sz w:val="22"/>
              </w:rPr>
            </w:pPr>
            <w:r w:rsidRPr="00067F4D">
              <w:rPr>
                <w:i/>
                <w:sz w:val="22"/>
              </w:rPr>
              <w:t>£</w:t>
            </w:r>
            <w:r w:rsidR="00707D01">
              <w:rPr>
                <w:i/>
                <w:sz w:val="22"/>
              </w:rPr>
              <w:t>1500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9A911" w14:textId="07E4AF13" w:rsidR="00067F4D" w:rsidRDefault="00067F4D" w:rsidP="00C31636">
            <w:pPr>
              <w:pStyle w:val="TableRowCentered"/>
              <w:ind w:left="0" w:right="0"/>
              <w:jc w:val="left"/>
              <w:rPr>
                <w:sz w:val="22"/>
              </w:rPr>
            </w:pPr>
            <w:r>
              <w:rPr>
                <w:sz w:val="22"/>
              </w:rPr>
              <w:t xml:space="preserve">Singing as part of a choir supports children’s cultural capital.  It </w:t>
            </w:r>
            <w:r w:rsidR="00064545">
              <w:rPr>
                <w:sz w:val="22"/>
              </w:rPr>
              <w:t>develops confidence, improves concentration, develops auditory discrimination and supports well-being.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295" w14:textId="6B1D16D5" w:rsidR="00067F4D" w:rsidRDefault="00064545" w:rsidP="00C31636">
            <w:pPr>
              <w:pStyle w:val="TableRowCentered"/>
              <w:ind w:left="0" w:right="0"/>
              <w:jc w:val="left"/>
              <w:rPr>
                <w:sz w:val="22"/>
              </w:rPr>
            </w:pPr>
            <w:r>
              <w:rPr>
                <w:sz w:val="22"/>
              </w:rPr>
              <w:t>5</w:t>
            </w:r>
          </w:p>
        </w:tc>
      </w:tr>
      <w:tr w:rsidR="00D04731" w14:paraId="1D4628A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24E1" w14:textId="1D3A5865" w:rsidR="00D04731" w:rsidRDefault="00D04731" w:rsidP="00C31636">
            <w:pPr>
              <w:pStyle w:val="TableRow"/>
              <w:ind w:left="0" w:right="0"/>
              <w:rPr>
                <w:iCs/>
                <w:sz w:val="22"/>
              </w:rPr>
            </w:pPr>
            <w:r>
              <w:rPr>
                <w:iCs/>
                <w:sz w:val="22"/>
              </w:rPr>
              <w:t>Educational visits</w:t>
            </w:r>
            <w:r w:rsidR="00D73AE1">
              <w:rPr>
                <w:iCs/>
                <w:sz w:val="22"/>
              </w:rPr>
              <w:t>/extra-curricular activities</w:t>
            </w:r>
            <w:r>
              <w:rPr>
                <w:iCs/>
                <w:sz w:val="22"/>
              </w:rPr>
              <w:t xml:space="preserve"> </w:t>
            </w:r>
          </w:p>
          <w:p w14:paraId="0C42FF1D" w14:textId="77777777" w:rsidR="00D04731" w:rsidRDefault="00D04731" w:rsidP="00C31636">
            <w:pPr>
              <w:pStyle w:val="TableRow"/>
              <w:ind w:left="0" w:right="0"/>
              <w:rPr>
                <w:iCs/>
                <w:sz w:val="22"/>
              </w:rPr>
            </w:pPr>
          </w:p>
          <w:p w14:paraId="27F4BB08" w14:textId="47363BE7" w:rsidR="00D04731" w:rsidRDefault="00D04731" w:rsidP="00C31636">
            <w:pPr>
              <w:pStyle w:val="TableRow"/>
              <w:ind w:left="0" w:right="0"/>
              <w:rPr>
                <w:iCs/>
                <w:sz w:val="22"/>
              </w:rPr>
            </w:pPr>
            <w:r>
              <w:rPr>
                <w:iCs/>
                <w:sz w:val="22"/>
              </w:rPr>
              <w:t>£</w:t>
            </w:r>
            <w:r w:rsidR="00707D01">
              <w:rPr>
                <w:iCs/>
                <w:sz w:val="22"/>
              </w:rPr>
              <w:t>2</w:t>
            </w:r>
            <w:r>
              <w:rPr>
                <w:iCs/>
                <w:sz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7D83A" w14:textId="1510950A" w:rsidR="00D04731" w:rsidRDefault="00EE3866" w:rsidP="00C31636">
            <w:pPr>
              <w:pStyle w:val="TableRowCentered"/>
              <w:ind w:left="0" w:right="0"/>
              <w:jc w:val="left"/>
              <w:rPr>
                <w:sz w:val="22"/>
              </w:rPr>
            </w:pPr>
            <w:r>
              <w:rPr>
                <w:sz w:val="22"/>
              </w:rPr>
              <w:t>Pupils accessing educational visits is a vital part of their curriculum learning.  It broadens their experience of cultural capital and provides experiences which further enhance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1D5D" w14:textId="51CE21D9" w:rsidR="00D04731" w:rsidRDefault="00655F61" w:rsidP="00C31636">
            <w:pPr>
              <w:pStyle w:val="TableRowCentered"/>
              <w:ind w:left="0" w:right="0"/>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53" w14:textId="579FCBEF" w:rsidR="00E66558" w:rsidRPr="00CA7BD0" w:rsidRDefault="009D71E8" w:rsidP="0008384B">
      <w:pPr>
        <w:rPr>
          <w:i/>
          <w:iCs/>
          <w:color w:val="104F75"/>
          <w:sz w:val="28"/>
          <w:szCs w:val="28"/>
        </w:rPr>
      </w:pPr>
      <w:r>
        <w:rPr>
          <w:b/>
          <w:bCs/>
          <w:color w:val="104F75"/>
          <w:sz w:val="28"/>
          <w:szCs w:val="28"/>
        </w:rPr>
        <w:t>Total budgeted cost: £</w:t>
      </w:r>
      <w:r w:rsidR="00EE3866">
        <w:rPr>
          <w:b/>
          <w:bCs/>
          <w:color w:val="104F75"/>
          <w:sz w:val="28"/>
          <w:szCs w:val="28"/>
        </w:rPr>
        <w:t>4</w:t>
      </w:r>
      <w:r w:rsidR="00064545">
        <w:rPr>
          <w:b/>
          <w:bCs/>
          <w:color w:val="104F75"/>
          <w:sz w:val="28"/>
          <w:szCs w:val="28"/>
        </w:rPr>
        <w:t>9</w:t>
      </w:r>
      <w:r w:rsidR="00EE3866">
        <w:rPr>
          <w:b/>
          <w:bCs/>
          <w:color w:val="104F75"/>
          <w:sz w:val="28"/>
          <w:szCs w:val="28"/>
        </w:rPr>
        <w:t>,</w:t>
      </w:r>
      <w:r w:rsidR="00064545">
        <w:rPr>
          <w:b/>
          <w:bCs/>
          <w:color w:val="104F75"/>
          <w:sz w:val="28"/>
          <w:szCs w:val="28"/>
        </w:rPr>
        <w:t>995</w:t>
      </w:r>
    </w:p>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46425669" w:rsidR="0008384B" w:rsidRPr="0008384B" w:rsidRDefault="0008384B" w:rsidP="0008384B">
      <w:pPr>
        <w:pStyle w:val="Heading2"/>
      </w:pP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bookmarkEnd w:id="12"/>
    <w:bookmarkEnd w:id="13"/>
    <w:bookmarkEnd w:id="14"/>
    <w:p w14:paraId="2A7D5564" w14:textId="77777777" w:rsidR="00E66558" w:rsidRDefault="00E66558"/>
    <w:sectPr w:rsidR="00E66558" w:rsidSect="00684155">
      <w:headerReference w:type="default" r:id="rId13"/>
      <w:footerReference w:type="default" r:id="rId14"/>
      <w:pgSz w:w="11906" w:h="16838"/>
      <w:pgMar w:top="568" w:right="1276"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C336" w14:textId="77777777" w:rsidR="00E21E4F" w:rsidRDefault="00E21E4F">
      <w:pPr>
        <w:spacing w:after="0" w:line="240" w:lineRule="auto"/>
      </w:pPr>
      <w:r>
        <w:separator/>
      </w:r>
    </w:p>
  </w:endnote>
  <w:endnote w:type="continuationSeparator" w:id="0">
    <w:p w14:paraId="7109A7F0" w14:textId="77777777" w:rsidR="00E21E4F" w:rsidRDefault="00E21E4F">
      <w:pPr>
        <w:spacing w:after="0" w:line="240" w:lineRule="auto"/>
      </w:pPr>
      <w:r>
        <w:continuationSeparator/>
      </w:r>
    </w:p>
  </w:endnote>
  <w:endnote w:type="continuationNotice" w:id="1">
    <w:p w14:paraId="36BA12C1" w14:textId="77777777" w:rsidR="00E21E4F" w:rsidRDefault="00E21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9D66" w14:textId="77777777" w:rsidR="00E21E4F" w:rsidRDefault="00E21E4F">
      <w:pPr>
        <w:spacing w:after="0" w:line="240" w:lineRule="auto"/>
      </w:pPr>
      <w:r>
        <w:separator/>
      </w:r>
    </w:p>
  </w:footnote>
  <w:footnote w:type="continuationSeparator" w:id="0">
    <w:p w14:paraId="26B80125" w14:textId="77777777" w:rsidR="00E21E4F" w:rsidRDefault="00E21E4F">
      <w:pPr>
        <w:spacing w:after="0" w:line="240" w:lineRule="auto"/>
      </w:pPr>
      <w:r>
        <w:continuationSeparator/>
      </w:r>
    </w:p>
  </w:footnote>
  <w:footnote w:type="continuationNotice" w:id="1">
    <w:p w14:paraId="28E34260" w14:textId="77777777" w:rsidR="00E21E4F" w:rsidRDefault="00E21E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344B"/>
    <w:multiLevelType w:val="hybridMultilevel"/>
    <w:tmpl w:val="E26CEF02"/>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4E0D9B"/>
    <w:multiLevelType w:val="hybridMultilevel"/>
    <w:tmpl w:val="2BCA4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5"/>
  </w:num>
  <w:num w:numId="3">
    <w:abstractNumId w:val="8"/>
  </w:num>
  <w:num w:numId="4">
    <w:abstractNumId w:val="9"/>
  </w:num>
  <w:num w:numId="5">
    <w:abstractNumId w:val="1"/>
  </w:num>
  <w:num w:numId="6">
    <w:abstractNumId w:val="10"/>
  </w:num>
  <w:num w:numId="7">
    <w:abstractNumId w:val="14"/>
  </w:num>
  <w:num w:numId="8">
    <w:abstractNumId w:val="18"/>
  </w:num>
  <w:num w:numId="9">
    <w:abstractNumId w:val="16"/>
  </w:num>
  <w:num w:numId="10">
    <w:abstractNumId w:val="15"/>
  </w:num>
  <w:num w:numId="11">
    <w:abstractNumId w:val="6"/>
  </w:num>
  <w:num w:numId="12">
    <w:abstractNumId w:val="17"/>
  </w:num>
  <w:num w:numId="13">
    <w:abstractNumId w:val="13"/>
  </w:num>
  <w:num w:numId="14">
    <w:abstractNumId w:val="11"/>
  </w:num>
  <w:num w:numId="15">
    <w:abstractNumId w:val="4"/>
  </w:num>
  <w:num w:numId="16">
    <w:abstractNumId w:val="3"/>
  </w:num>
  <w:num w:numId="17">
    <w:abstractNumId w:val="12"/>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560B"/>
    <w:rsid w:val="00023729"/>
    <w:rsid w:val="000243B4"/>
    <w:rsid w:val="0002530E"/>
    <w:rsid w:val="0002710D"/>
    <w:rsid w:val="00031EA0"/>
    <w:rsid w:val="00036678"/>
    <w:rsid w:val="000452EB"/>
    <w:rsid w:val="00045603"/>
    <w:rsid w:val="000463AE"/>
    <w:rsid w:val="000507A3"/>
    <w:rsid w:val="00060A62"/>
    <w:rsid w:val="00064366"/>
    <w:rsid w:val="00064545"/>
    <w:rsid w:val="00066B73"/>
    <w:rsid w:val="00067F4D"/>
    <w:rsid w:val="000706C6"/>
    <w:rsid w:val="00071481"/>
    <w:rsid w:val="00071D77"/>
    <w:rsid w:val="00075FAE"/>
    <w:rsid w:val="000803E4"/>
    <w:rsid w:val="00082F38"/>
    <w:rsid w:val="000837DB"/>
    <w:rsid w:val="0008384B"/>
    <w:rsid w:val="000929EC"/>
    <w:rsid w:val="00093CDE"/>
    <w:rsid w:val="000A5C58"/>
    <w:rsid w:val="000A6379"/>
    <w:rsid w:val="000A7335"/>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2296"/>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66FEA"/>
    <w:rsid w:val="00276FBA"/>
    <w:rsid w:val="00277665"/>
    <w:rsid w:val="002837AE"/>
    <w:rsid w:val="00287FA8"/>
    <w:rsid w:val="002920F4"/>
    <w:rsid w:val="002940F3"/>
    <w:rsid w:val="00295842"/>
    <w:rsid w:val="002A6167"/>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3F6AAA"/>
    <w:rsid w:val="004044AA"/>
    <w:rsid w:val="004044C8"/>
    <w:rsid w:val="00404F3F"/>
    <w:rsid w:val="00410B5D"/>
    <w:rsid w:val="00413BEC"/>
    <w:rsid w:val="0042265E"/>
    <w:rsid w:val="00424ED7"/>
    <w:rsid w:val="00425258"/>
    <w:rsid w:val="00426217"/>
    <w:rsid w:val="00431A80"/>
    <w:rsid w:val="00433641"/>
    <w:rsid w:val="00435A89"/>
    <w:rsid w:val="00452267"/>
    <w:rsid w:val="004530C7"/>
    <w:rsid w:val="00453307"/>
    <w:rsid w:val="00454EE1"/>
    <w:rsid w:val="00455A02"/>
    <w:rsid w:val="00457E36"/>
    <w:rsid w:val="00460BD3"/>
    <w:rsid w:val="00462F8F"/>
    <w:rsid w:val="004708F2"/>
    <w:rsid w:val="004724DE"/>
    <w:rsid w:val="004770FE"/>
    <w:rsid w:val="0048157F"/>
    <w:rsid w:val="00481D56"/>
    <w:rsid w:val="00490408"/>
    <w:rsid w:val="00490674"/>
    <w:rsid w:val="004A0577"/>
    <w:rsid w:val="004A4C45"/>
    <w:rsid w:val="004A55C4"/>
    <w:rsid w:val="004B0009"/>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022"/>
    <w:rsid w:val="005F5224"/>
    <w:rsid w:val="005F5340"/>
    <w:rsid w:val="005F7AA1"/>
    <w:rsid w:val="00600B2E"/>
    <w:rsid w:val="00601122"/>
    <w:rsid w:val="00606521"/>
    <w:rsid w:val="00607CEB"/>
    <w:rsid w:val="00613299"/>
    <w:rsid w:val="0061762D"/>
    <w:rsid w:val="00631C6C"/>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5F61"/>
    <w:rsid w:val="00656A8F"/>
    <w:rsid w:val="00661FDB"/>
    <w:rsid w:val="006652DD"/>
    <w:rsid w:val="006671BF"/>
    <w:rsid w:val="00671AEB"/>
    <w:rsid w:val="00672A7D"/>
    <w:rsid w:val="00681416"/>
    <w:rsid w:val="00684155"/>
    <w:rsid w:val="006A06F5"/>
    <w:rsid w:val="006A0ED2"/>
    <w:rsid w:val="006B0A73"/>
    <w:rsid w:val="006B5A6B"/>
    <w:rsid w:val="006C0ADD"/>
    <w:rsid w:val="006C0F82"/>
    <w:rsid w:val="006C25E8"/>
    <w:rsid w:val="006C332E"/>
    <w:rsid w:val="006C5901"/>
    <w:rsid w:val="006D00F1"/>
    <w:rsid w:val="006D3555"/>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07D01"/>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30C6"/>
    <w:rsid w:val="00794070"/>
    <w:rsid w:val="007A63CA"/>
    <w:rsid w:val="007A713B"/>
    <w:rsid w:val="007A7DA0"/>
    <w:rsid w:val="007B64E5"/>
    <w:rsid w:val="007C2F04"/>
    <w:rsid w:val="007E4117"/>
    <w:rsid w:val="007F06E5"/>
    <w:rsid w:val="007F5B8B"/>
    <w:rsid w:val="00805BC0"/>
    <w:rsid w:val="00814FB9"/>
    <w:rsid w:val="00817E9A"/>
    <w:rsid w:val="00820796"/>
    <w:rsid w:val="00827786"/>
    <w:rsid w:val="00827BDA"/>
    <w:rsid w:val="00830D57"/>
    <w:rsid w:val="00831F00"/>
    <w:rsid w:val="00850CA0"/>
    <w:rsid w:val="00852A2F"/>
    <w:rsid w:val="008608EE"/>
    <w:rsid w:val="00860B07"/>
    <w:rsid w:val="008616F6"/>
    <w:rsid w:val="0086259C"/>
    <w:rsid w:val="00863201"/>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1E40"/>
    <w:rsid w:val="008E2926"/>
    <w:rsid w:val="008E35C6"/>
    <w:rsid w:val="008E3F49"/>
    <w:rsid w:val="008E7FBC"/>
    <w:rsid w:val="008F243B"/>
    <w:rsid w:val="008F4675"/>
    <w:rsid w:val="008F50FE"/>
    <w:rsid w:val="008F69CD"/>
    <w:rsid w:val="008F6E88"/>
    <w:rsid w:val="00901E60"/>
    <w:rsid w:val="00904A66"/>
    <w:rsid w:val="00905029"/>
    <w:rsid w:val="00915DA5"/>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0D43"/>
    <w:rsid w:val="009F3BBD"/>
    <w:rsid w:val="00A022AB"/>
    <w:rsid w:val="00A063DD"/>
    <w:rsid w:val="00A112B5"/>
    <w:rsid w:val="00A14EEA"/>
    <w:rsid w:val="00A267DC"/>
    <w:rsid w:val="00A33636"/>
    <w:rsid w:val="00A44FBB"/>
    <w:rsid w:val="00A50104"/>
    <w:rsid w:val="00A522E0"/>
    <w:rsid w:val="00A52823"/>
    <w:rsid w:val="00A60E28"/>
    <w:rsid w:val="00A63579"/>
    <w:rsid w:val="00A638AC"/>
    <w:rsid w:val="00A64475"/>
    <w:rsid w:val="00A71F1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69F8"/>
    <w:rsid w:val="00B87184"/>
    <w:rsid w:val="00B91453"/>
    <w:rsid w:val="00BA19A5"/>
    <w:rsid w:val="00BA27EE"/>
    <w:rsid w:val="00BB2907"/>
    <w:rsid w:val="00BB6902"/>
    <w:rsid w:val="00BC078B"/>
    <w:rsid w:val="00BC3A7D"/>
    <w:rsid w:val="00BC67F6"/>
    <w:rsid w:val="00BC6D25"/>
    <w:rsid w:val="00BD2004"/>
    <w:rsid w:val="00BD4B12"/>
    <w:rsid w:val="00BD700D"/>
    <w:rsid w:val="00BE2F92"/>
    <w:rsid w:val="00BE44AC"/>
    <w:rsid w:val="00BF0D5F"/>
    <w:rsid w:val="00BF30FC"/>
    <w:rsid w:val="00BF59B3"/>
    <w:rsid w:val="00BF6F95"/>
    <w:rsid w:val="00C10BCF"/>
    <w:rsid w:val="00C11EB4"/>
    <w:rsid w:val="00C12746"/>
    <w:rsid w:val="00C214C3"/>
    <w:rsid w:val="00C23C11"/>
    <w:rsid w:val="00C2441E"/>
    <w:rsid w:val="00C25827"/>
    <w:rsid w:val="00C31636"/>
    <w:rsid w:val="00C31BB8"/>
    <w:rsid w:val="00C360D7"/>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69D5"/>
    <w:rsid w:val="00C97A7F"/>
    <w:rsid w:val="00CA4421"/>
    <w:rsid w:val="00CA5363"/>
    <w:rsid w:val="00CA7BD0"/>
    <w:rsid w:val="00CA7D07"/>
    <w:rsid w:val="00CB24A4"/>
    <w:rsid w:val="00CB5B17"/>
    <w:rsid w:val="00CB6AA0"/>
    <w:rsid w:val="00CC4443"/>
    <w:rsid w:val="00CC5CAF"/>
    <w:rsid w:val="00CE02E1"/>
    <w:rsid w:val="00CE7E1B"/>
    <w:rsid w:val="00CF0718"/>
    <w:rsid w:val="00D01BA7"/>
    <w:rsid w:val="00D04731"/>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3F1D"/>
    <w:rsid w:val="00D5590D"/>
    <w:rsid w:val="00D618E4"/>
    <w:rsid w:val="00D61DA5"/>
    <w:rsid w:val="00D642A3"/>
    <w:rsid w:val="00D71B8A"/>
    <w:rsid w:val="00D72C08"/>
    <w:rsid w:val="00D73AE1"/>
    <w:rsid w:val="00D75247"/>
    <w:rsid w:val="00D81325"/>
    <w:rsid w:val="00D875ED"/>
    <w:rsid w:val="00D877D0"/>
    <w:rsid w:val="00D90013"/>
    <w:rsid w:val="00D91B9C"/>
    <w:rsid w:val="00D92C1B"/>
    <w:rsid w:val="00D94CC7"/>
    <w:rsid w:val="00D97901"/>
    <w:rsid w:val="00DA18BD"/>
    <w:rsid w:val="00DA1AF4"/>
    <w:rsid w:val="00DB0C60"/>
    <w:rsid w:val="00DC641A"/>
    <w:rsid w:val="00DD21A1"/>
    <w:rsid w:val="00DD68FB"/>
    <w:rsid w:val="00DD6B7D"/>
    <w:rsid w:val="00DD6E14"/>
    <w:rsid w:val="00DE15AC"/>
    <w:rsid w:val="00DF2015"/>
    <w:rsid w:val="00E061EC"/>
    <w:rsid w:val="00E0696B"/>
    <w:rsid w:val="00E10E81"/>
    <w:rsid w:val="00E13E51"/>
    <w:rsid w:val="00E21E4F"/>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A7C27"/>
    <w:rsid w:val="00EB4556"/>
    <w:rsid w:val="00EB4A11"/>
    <w:rsid w:val="00EB64C8"/>
    <w:rsid w:val="00ED4136"/>
    <w:rsid w:val="00ED5108"/>
    <w:rsid w:val="00ED6AE8"/>
    <w:rsid w:val="00EE291B"/>
    <w:rsid w:val="00EE2CB2"/>
    <w:rsid w:val="00EE3866"/>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36EF0"/>
    <w:rsid w:val="00F40DE1"/>
    <w:rsid w:val="00F4142A"/>
    <w:rsid w:val="00F44F1B"/>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2E8E"/>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literacy-ks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education-evidence/guidance-reports/literacy-ks-1" TargetMode="External"/><Relationship Id="rId12" Type="http://schemas.openxmlformats.org/officeDocument/2006/relationships/hyperlink" Target="https://educationendowmentfoundation.org.uk/education-evidence/guidance-reports/maths-ks-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arly-years/evidence-store/early-mathemati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ionendowmentfoundation.org.uk/education-evidence/guidance-reports/literacy-ks2"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literacy-ks-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 Gowers</cp:lastModifiedBy>
  <cp:revision>6</cp:revision>
  <cp:lastPrinted>2024-12-30T10:52:00Z</cp:lastPrinted>
  <dcterms:created xsi:type="dcterms:W3CDTF">2025-12-30T15:55:00Z</dcterms:created>
  <dcterms:modified xsi:type="dcterms:W3CDTF">2025-12-30T16:29:00Z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